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3915" w14:textId="77777777" w:rsidR="00672092" w:rsidRPr="00340ABC" w:rsidRDefault="00B402D6" w:rsidP="0067209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38E43A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65pt;margin-top:-533pt;width:476.55pt;height:187.6pt;z-index:251657216;mso-position-horizontal-relative:text;mso-position-vertical-relative:text" filled="f" stroked="f">
            <v:textbox inset="0,0,0,0">
              <w:txbxContent>
                <w:p w14:paraId="38E43A6A" w14:textId="3002221C" w:rsidR="00BE1FF8" w:rsidRPr="002055CA" w:rsidRDefault="00BE1FF8" w:rsidP="007F3F1D">
                  <w:pPr>
                    <w:pStyle w:val="Title"/>
                    <w:jc w:val="right"/>
                  </w:pPr>
                  <w:r>
                    <w:t>Lexcel England and Wales v6</w:t>
                  </w:r>
                  <w:r w:rsidR="004909AE">
                    <w:t>.1</w:t>
                  </w:r>
                </w:p>
                <w:p w14:paraId="38E43A6B" w14:textId="77777777" w:rsidR="00BE1FF8" w:rsidRDefault="00BE1FF8" w:rsidP="007F3F1D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Case management checklist for in-house legal departments </w:t>
                  </w:r>
                </w:p>
                <w:p w14:paraId="38E43A6C" w14:textId="77777777" w:rsidR="00BE1FF8" w:rsidRPr="00277406" w:rsidRDefault="00BE1FF8" w:rsidP="007F3F1D">
                  <w:pPr>
                    <w:jc w:val="right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277406">
                    <w:rPr>
                      <w:rFonts w:ascii="Arial" w:hAnsi="Arial" w:cs="Arial"/>
                      <w:i/>
                      <w:sz w:val="32"/>
                      <w:szCs w:val="32"/>
                    </w:rPr>
                    <w:t>Excellence in legal practice management and client care</w:t>
                  </w:r>
                </w:p>
              </w:txbxContent>
            </v:textbox>
          </v:shape>
        </w:pict>
      </w:r>
      <w:r w:rsidR="00EA724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8E43A58" wp14:editId="38E43A59">
            <wp:simplePos x="0" y="0"/>
            <wp:positionH relativeFrom="column">
              <wp:posOffset>-683895</wp:posOffset>
            </wp:positionH>
            <wp:positionV relativeFrom="paragraph">
              <wp:posOffset>-1151890</wp:posOffset>
            </wp:positionV>
            <wp:extent cx="7595870" cy="10687050"/>
            <wp:effectExtent l="19050" t="0" r="5080" b="0"/>
            <wp:wrapSquare wrapText="bothSides"/>
            <wp:docPr id="4" name="Picture 3" descr="L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xc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E43916" w14:textId="77777777" w:rsidR="00416E7C" w:rsidRPr="00340ABC" w:rsidRDefault="00416E7C" w:rsidP="000528C9">
      <w:pPr>
        <w:spacing w:after="0"/>
        <w:rPr>
          <w:rFonts w:ascii="Arial" w:hAnsi="Arial" w:cs="Arial"/>
          <w:b/>
          <w:sz w:val="28"/>
          <w:szCs w:val="28"/>
        </w:rPr>
        <w:sectPr w:rsidR="00416E7C" w:rsidRPr="00340ABC" w:rsidSect="0039524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4" w:right="1077" w:bottom="1134" w:left="1077" w:header="709" w:footer="709" w:gutter="0"/>
          <w:pgNumType w:start="1"/>
          <w:cols w:space="708"/>
          <w:titlePg/>
          <w:docGrid w:linePitch="360"/>
        </w:sectPr>
      </w:pPr>
    </w:p>
    <w:p w14:paraId="38E43917" w14:textId="5FB09D15" w:rsidR="00471E98" w:rsidRPr="00A97DF1" w:rsidRDefault="00471E98" w:rsidP="00863F5D">
      <w:pPr>
        <w:spacing w:after="160"/>
        <w:ind w:lef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Lexcel v6</w:t>
      </w:r>
      <w:r w:rsidR="007761DD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 xml:space="preserve">- Case management checklist for </w:t>
      </w:r>
      <w:r w:rsidR="006776CC">
        <w:rPr>
          <w:rFonts w:ascii="Arial" w:hAnsi="Arial" w:cs="Arial"/>
          <w:b/>
          <w:sz w:val="28"/>
          <w:szCs w:val="28"/>
        </w:rPr>
        <w:t>in-house legal departments</w:t>
      </w:r>
    </w:p>
    <w:tbl>
      <w:tblPr>
        <w:tblStyle w:val="TableGrid"/>
        <w:tblW w:w="10173" w:type="dxa"/>
        <w:tblInd w:w="250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1E98" w:rsidRPr="00D83D18" w14:paraId="38E4391A" w14:textId="77777777" w:rsidTr="00863F5D">
        <w:trPr>
          <w:trHeight w:val="425"/>
        </w:trPr>
        <w:tc>
          <w:tcPr>
            <w:tcW w:w="4786" w:type="dxa"/>
            <w:shd w:val="pct15" w:color="auto" w:fill="auto"/>
            <w:vAlign w:val="center"/>
          </w:tcPr>
          <w:p w14:paraId="38E43918" w14:textId="77777777" w:rsidR="00471E98" w:rsidRPr="00A97DF1" w:rsidRDefault="006776CC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71E98" w:rsidRPr="00A97DF1">
              <w:rPr>
                <w:rFonts w:ascii="Arial" w:hAnsi="Arial" w:cs="Arial"/>
                <w:sz w:val="20"/>
                <w:szCs w:val="20"/>
              </w:rPr>
              <w:t>rganisation name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8E43919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98" w:rsidRPr="00D83D18" w14:paraId="38E4391D" w14:textId="77777777" w:rsidTr="00863F5D">
        <w:trPr>
          <w:trHeight w:val="425"/>
        </w:trPr>
        <w:tc>
          <w:tcPr>
            <w:tcW w:w="4786" w:type="dxa"/>
            <w:shd w:val="pct15" w:color="auto" w:fill="auto"/>
            <w:vAlign w:val="center"/>
          </w:tcPr>
          <w:p w14:paraId="38E4391B" w14:textId="77777777" w:rsidR="00471E98" w:rsidRPr="00A97DF1" w:rsidRDefault="001E1245" w:rsidP="00BD6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D6657">
              <w:rPr>
                <w:rFonts w:ascii="Arial" w:hAnsi="Arial" w:cs="Arial"/>
                <w:sz w:val="20"/>
                <w:szCs w:val="20"/>
              </w:rPr>
              <w:t>epartment's</w:t>
            </w:r>
            <w:r w:rsidR="00471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E98" w:rsidRPr="00A97DF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87" w:type="dxa"/>
            <w:vAlign w:val="center"/>
          </w:tcPr>
          <w:p w14:paraId="38E4391C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98" w:rsidRPr="00D83D18" w14:paraId="38E43920" w14:textId="77777777" w:rsidTr="00863F5D">
        <w:trPr>
          <w:trHeight w:val="425"/>
        </w:trPr>
        <w:tc>
          <w:tcPr>
            <w:tcW w:w="4786" w:type="dxa"/>
            <w:shd w:val="pct15" w:color="auto" w:fill="auto"/>
            <w:vAlign w:val="center"/>
          </w:tcPr>
          <w:p w14:paraId="38E4391E" w14:textId="77777777" w:rsidR="00471E98" w:rsidRDefault="006776CC" w:rsidP="001C4F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advisors name(s) </w:t>
            </w:r>
            <w:r w:rsidRPr="00886035">
              <w:rPr>
                <w:rFonts w:ascii="Arial" w:hAnsi="Arial" w:cs="Arial"/>
                <w:sz w:val="16"/>
                <w:szCs w:val="16"/>
              </w:rPr>
              <w:t>(</w:t>
            </w:r>
            <w:r w:rsidR="001C4FDB">
              <w:rPr>
                <w:rFonts w:ascii="Arial" w:hAnsi="Arial" w:cs="Arial"/>
                <w:sz w:val="16"/>
                <w:szCs w:val="16"/>
              </w:rPr>
              <w:t>F</w:t>
            </w:r>
            <w:r w:rsidRPr="00886035">
              <w:rPr>
                <w:rFonts w:ascii="Arial" w:hAnsi="Arial" w:cs="Arial"/>
                <w:sz w:val="16"/>
                <w:szCs w:val="16"/>
              </w:rPr>
              <w:t>irst name, surname)</w:t>
            </w:r>
          </w:p>
        </w:tc>
        <w:tc>
          <w:tcPr>
            <w:tcW w:w="5387" w:type="dxa"/>
            <w:vAlign w:val="center"/>
          </w:tcPr>
          <w:p w14:paraId="38E4391F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71E98" w:rsidRPr="00D83D18" w14:paraId="38E43923" w14:textId="77777777" w:rsidTr="00863F5D">
        <w:trPr>
          <w:trHeight w:val="425"/>
        </w:trPr>
        <w:tc>
          <w:tcPr>
            <w:tcW w:w="478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E43921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DF1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 review</w:t>
            </w:r>
            <w:r w:rsidRPr="00A97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DF1">
              <w:rPr>
                <w:rFonts w:ascii="Arial" w:hAnsi="Arial" w:cs="Arial"/>
                <w:sz w:val="16"/>
                <w:szCs w:val="16"/>
              </w:rPr>
              <w:t>(DD/MM/YYYY)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8E43922" w14:textId="77777777" w:rsidR="00471E98" w:rsidRPr="00CC6383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98" w:rsidRPr="00D83D18" w14:paraId="38E43926" w14:textId="77777777" w:rsidTr="00863F5D">
        <w:trPr>
          <w:trHeight w:hRule="exact" w:val="284"/>
        </w:trPr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43924" w14:textId="77777777" w:rsidR="00471E98" w:rsidRPr="00A97DF1" w:rsidRDefault="00471E98" w:rsidP="00EA1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43925" w14:textId="77777777" w:rsidR="00471E98" w:rsidRPr="00A97DF1" w:rsidRDefault="00471E98" w:rsidP="00EA1283">
            <w:pPr>
              <w:rPr>
                <w:rFonts w:ascii="Arial" w:hAnsi="Arial" w:cs="Arial"/>
                <w:sz w:val="20"/>
              </w:rPr>
            </w:pPr>
          </w:p>
        </w:tc>
      </w:tr>
      <w:tr w:rsidR="00471E98" w:rsidRPr="00D83D18" w14:paraId="38E43929" w14:textId="77777777" w:rsidTr="00863F5D">
        <w:trPr>
          <w:trHeight w:val="425"/>
        </w:trPr>
        <w:tc>
          <w:tcPr>
            <w:tcW w:w="4786" w:type="dxa"/>
            <w:shd w:val="pct15" w:color="auto" w:fill="auto"/>
            <w:vAlign w:val="center"/>
          </w:tcPr>
          <w:p w14:paraId="38E43927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DF1">
              <w:rPr>
                <w:rFonts w:ascii="Arial" w:hAnsi="Arial" w:cs="Arial"/>
                <w:sz w:val="20"/>
                <w:szCs w:val="20"/>
              </w:rPr>
              <w:t>Name of assessment body</w:t>
            </w:r>
          </w:p>
        </w:tc>
        <w:tc>
          <w:tcPr>
            <w:tcW w:w="5387" w:type="dxa"/>
            <w:vAlign w:val="center"/>
          </w:tcPr>
          <w:p w14:paraId="38E43928" w14:textId="77777777" w:rsidR="00471E98" w:rsidRPr="00D83D18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98" w:rsidRPr="00D83D18" w14:paraId="38E4392C" w14:textId="77777777" w:rsidTr="00863F5D">
        <w:trPr>
          <w:trHeight w:val="425"/>
        </w:trPr>
        <w:tc>
          <w:tcPr>
            <w:tcW w:w="4786" w:type="dxa"/>
            <w:shd w:val="pct15" w:color="auto" w:fill="auto"/>
            <w:vAlign w:val="center"/>
          </w:tcPr>
          <w:p w14:paraId="38E4392A" w14:textId="77777777" w:rsidR="00471E98" w:rsidRPr="00A97DF1" w:rsidRDefault="00471E98" w:rsidP="001C4FD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assessor name</w:t>
            </w:r>
            <w:r w:rsidR="0088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35" w:rsidRPr="00886035">
              <w:rPr>
                <w:rFonts w:ascii="Arial" w:hAnsi="Arial" w:cs="Arial"/>
                <w:sz w:val="16"/>
                <w:szCs w:val="16"/>
              </w:rPr>
              <w:t>(</w:t>
            </w:r>
            <w:r w:rsidR="001C4FDB">
              <w:rPr>
                <w:rFonts w:ascii="Arial" w:hAnsi="Arial" w:cs="Arial"/>
                <w:sz w:val="16"/>
                <w:szCs w:val="16"/>
              </w:rPr>
              <w:t>F</w:t>
            </w:r>
            <w:r w:rsidR="00886035" w:rsidRPr="00886035">
              <w:rPr>
                <w:rFonts w:ascii="Arial" w:hAnsi="Arial" w:cs="Arial"/>
                <w:sz w:val="16"/>
                <w:szCs w:val="16"/>
              </w:rPr>
              <w:t>irst name, surname)</w:t>
            </w:r>
          </w:p>
        </w:tc>
        <w:tc>
          <w:tcPr>
            <w:tcW w:w="5387" w:type="dxa"/>
            <w:vAlign w:val="center"/>
          </w:tcPr>
          <w:p w14:paraId="38E4392B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8E4392D" w14:textId="77777777" w:rsidR="00471E98" w:rsidRDefault="00471E98" w:rsidP="00471E98">
      <w:pPr>
        <w:jc w:val="both"/>
        <w:rPr>
          <w:rFonts w:ascii="Arial" w:hAnsi="Arial" w:cs="Arial"/>
        </w:rPr>
      </w:pPr>
    </w:p>
    <w:tbl>
      <w:tblPr>
        <w:tblW w:w="51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5164"/>
        <w:gridCol w:w="1397"/>
        <w:gridCol w:w="1432"/>
        <w:gridCol w:w="1434"/>
      </w:tblGrid>
      <w:tr w:rsidR="004E50E0" w:rsidRPr="001D17F4" w14:paraId="38E43930" w14:textId="77777777" w:rsidTr="00863F5D">
        <w:trPr>
          <w:trHeight w:val="425"/>
          <w:tblHeader/>
        </w:trPr>
        <w:tc>
          <w:tcPr>
            <w:tcW w:w="2922" w:type="pct"/>
            <w:gridSpan w:val="2"/>
            <w:vMerge w:val="restart"/>
            <w:shd w:val="pct15" w:color="auto" w:fill="auto"/>
            <w:vAlign w:val="center"/>
          </w:tcPr>
          <w:p w14:paraId="38E4392E" w14:textId="77777777" w:rsidR="004E50E0" w:rsidRPr="001D17F4" w:rsidRDefault="004E50E0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Lexcel</w:t>
            </w:r>
            <w:r w:rsidRPr="001D17F4">
              <w:rPr>
                <w:rFonts w:ascii="Arial" w:hAnsi="Arial" w:cs="Arial"/>
                <w:b/>
                <w:sz w:val="20"/>
                <w:szCs w:val="20"/>
              </w:rPr>
              <w:t xml:space="preserve"> requirement</w:t>
            </w:r>
          </w:p>
        </w:tc>
        <w:tc>
          <w:tcPr>
            <w:tcW w:w="2078" w:type="pct"/>
            <w:gridSpan w:val="3"/>
            <w:shd w:val="pct15" w:color="auto" w:fill="auto"/>
            <w:vAlign w:val="center"/>
          </w:tcPr>
          <w:p w14:paraId="38E4392F" w14:textId="77777777" w:rsidR="004E50E0" w:rsidRPr="001D17F4" w:rsidRDefault="004E50E0" w:rsidP="00EA12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4">
              <w:rPr>
                <w:rFonts w:ascii="Arial" w:hAnsi="Arial" w:cs="Arial"/>
                <w:b/>
                <w:sz w:val="20"/>
                <w:szCs w:val="20"/>
              </w:rPr>
              <w:t>File number</w:t>
            </w:r>
          </w:p>
        </w:tc>
      </w:tr>
      <w:tr w:rsidR="004E50E0" w:rsidRPr="001D17F4" w14:paraId="38E43935" w14:textId="77777777" w:rsidTr="00863F5D">
        <w:trPr>
          <w:trHeight w:val="425"/>
        </w:trPr>
        <w:tc>
          <w:tcPr>
            <w:tcW w:w="2922" w:type="pct"/>
            <w:gridSpan w:val="2"/>
            <w:vMerge/>
            <w:vAlign w:val="center"/>
          </w:tcPr>
          <w:p w14:paraId="38E43931" w14:textId="77777777" w:rsidR="004E50E0" w:rsidRPr="00264813" w:rsidDel="00BD6657" w:rsidRDefault="004E50E0" w:rsidP="008336CB">
            <w:pPr>
              <w:tabs>
                <w:tab w:val="left" w:pos="0"/>
                <w:tab w:val="left" w:pos="113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14:paraId="38E43932" w14:textId="77777777" w:rsidR="004E50E0" w:rsidRPr="00C27DFE" w:rsidRDefault="004E50E0" w:rsidP="00EA1283"/>
        </w:tc>
        <w:tc>
          <w:tcPr>
            <w:tcW w:w="698" w:type="pct"/>
            <w:vAlign w:val="center"/>
          </w:tcPr>
          <w:p w14:paraId="38E43933" w14:textId="77777777" w:rsidR="004E50E0" w:rsidRPr="00E041CE" w:rsidRDefault="004E50E0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34" w14:textId="77777777" w:rsidR="004E50E0" w:rsidRPr="00E041CE" w:rsidRDefault="004E50E0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3B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36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517" w:type="pct"/>
            <w:vAlign w:val="center"/>
          </w:tcPr>
          <w:p w14:paraId="38E43937" w14:textId="77777777" w:rsidR="00471E98" w:rsidRPr="00264813" w:rsidRDefault="00BD6657" w:rsidP="008336CB">
            <w:pPr>
              <w:tabs>
                <w:tab w:val="left" w:pos="0"/>
                <w:tab w:val="left" w:pos="1134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recording evident, where appropriate (may be recorded on file or central system).</w:t>
            </w:r>
          </w:p>
        </w:tc>
        <w:tc>
          <w:tcPr>
            <w:tcW w:w="681" w:type="pct"/>
            <w:vAlign w:val="center"/>
          </w:tcPr>
          <w:p w14:paraId="38E43938" w14:textId="77777777" w:rsidR="00471E98" w:rsidRPr="00C27DFE" w:rsidRDefault="00471E98" w:rsidP="00EA1283"/>
        </w:tc>
        <w:tc>
          <w:tcPr>
            <w:tcW w:w="698" w:type="pct"/>
            <w:vAlign w:val="center"/>
          </w:tcPr>
          <w:p w14:paraId="38E4393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3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41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3C" w14:textId="77777777" w:rsidR="00471E98" w:rsidRPr="00E041CE" w:rsidRDefault="001067F3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71E98">
              <w:rPr>
                <w:rFonts w:ascii="Arial" w:hAnsi="Arial" w:cs="Arial"/>
                <w:sz w:val="18"/>
                <w:szCs w:val="18"/>
              </w:rPr>
              <w:t>.b</w:t>
            </w:r>
            <w:proofErr w:type="gramEnd"/>
          </w:p>
        </w:tc>
        <w:tc>
          <w:tcPr>
            <w:tcW w:w="2517" w:type="pct"/>
            <w:vAlign w:val="center"/>
          </w:tcPr>
          <w:p w14:paraId="38E4393D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Ensuring that key dates are recorded on the file and in a back-up system.</w:t>
            </w:r>
          </w:p>
        </w:tc>
        <w:tc>
          <w:tcPr>
            <w:tcW w:w="681" w:type="pct"/>
            <w:vAlign w:val="center"/>
          </w:tcPr>
          <w:p w14:paraId="38E4393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3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4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47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42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2517" w:type="pct"/>
            <w:vAlign w:val="center"/>
          </w:tcPr>
          <w:p w14:paraId="38E43943" w14:textId="77777777" w:rsidR="00471E98" w:rsidRPr="00264813" w:rsidRDefault="00BD6657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Conflict of interest check carried out and acted upon appropriately.</w:t>
            </w:r>
          </w:p>
        </w:tc>
        <w:tc>
          <w:tcPr>
            <w:tcW w:w="681" w:type="pct"/>
            <w:vAlign w:val="center"/>
          </w:tcPr>
          <w:p w14:paraId="38E4394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4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4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4D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48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5.11.c</w:t>
            </w:r>
          </w:p>
        </w:tc>
        <w:tc>
          <w:tcPr>
            <w:tcW w:w="2517" w:type="pct"/>
            <w:vAlign w:val="center"/>
          </w:tcPr>
          <w:p w14:paraId="38E43949" w14:textId="77777777" w:rsidR="00471E98" w:rsidRPr="00264813" w:rsidRDefault="00BD6657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If the file has been reviewed, a record has been retained on the matter file and centrally.</w:t>
            </w:r>
          </w:p>
        </w:tc>
        <w:tc>
          <w:tcPr>
            <w:tcW w:w="681" w:type="pct"/>
            <w:vAlign w:val="center"/>
          </w:tcPr>
          <w:p w14:paraId="38E4394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4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4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53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4E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11.d</w:t>
            </w:r>
            <w:proofErr w:type="gramEnd"/>
          </w:p>
        </w:tc>
        <w:tc>
          <w:tcPr>
            <w:tcW w:w="2517" w:type="pct"/>
            <w:vAlign w:val="center"/>
          </w:tcPr>
          <w:p w14:paraId="38E4394F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Ensure any corrective action, which is identified in a file review, is acted upon within 28 days and verified. </w:t>
            </w:r>
          </w:p>
        </w:tc>
        <w:tc>
          <w:tcPr>
            <w:tcW w:w="681" w:type="pct"/>
            <w:vAlign w:val="center"/>
          </w:tcPr>
          <w:p w14:paraId="38E4395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5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5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59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54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12.b</w:t>
            </w:r>
            <w:proofErr w:type="gramEnd"/>
          </w:p>
        </w:tc>
        <w:tc>
          <w:tcPr>
            <w:tcW w:w="2517" w:type="pct"/>
            <w:vAlign w:val="center"/>
          </w:tcPr>
          <w:p w14:paraId="38E43955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Assess the risk profile of all new instructions and notify the </w:t>
            </w:r>
            <w:r w:rsidRPr="00264813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Pr="00264813">
              <w:rPr>
                <w:rFonts w:ascii="Arial" w:hAnsi="Arial" w:cs="Arial"/>
                <w:sz w:val="20"/>
                <w:szCs w:val="20"/>
              </w:rPr>
              <w:t xml:space="preserve">, in accordance with </w:t>
            </w:r>
            <w:r w:rsidRPr="00264813">
              <w:rPr>
                <w:rFonts w:ascii="Arial" w:hAnsi="Arial" w:cs="Arial"/>
                <w:b/>
                <w:sz w:val="20"/>
                <w:szCs w:val="20"/>
              </w:rPr>
              <w:t xml:space="preserve">procedures </w:t>
            </w:r>
            <w:r w:rsidRPr="00264813">
              <w:rPr>
                <w:rFonts w:ascii="Arial" w:hAnsi="Arial" w:cs="Arial"/>
                <w:sz w:val="20"/>
                <w:szCs w:val="20"/>
              </w:rPr>
              <w:t xml:space="preserve">under 5.4, of any unusual or </w:t>
            </w:r>
            <w:proofErr w:type="gramStart"/>
            <w:r w:rsidRPr="00264813">
              <w:rPr>
                <w:rFonts w:ascii="Arial" w:hAnsi="Arial" w:cs="Arial"/>
                <w:sz w:val="20"/>
                <w:szCs w:val="20"/>
              </w:rPr>
              <w:t>high risk</w:t>
            </w:r>
            <w:proofErr w:type="gramEnd"/>
            <w:r w:rsidRPr="00264813">
              <w:rPr>
                <w:rFonts w:ascii="Arial" w:hAnsi="Arial" w:cs="Arial"/>
                <w:sz w:val="20"/>
                <w:szCs w:val="20"/>
              </w:rPr>
              <w:t xml:space="preserve"> considerations in order that appropriate action may be taken.</w:t>
            </w:r>
          </w:p>
        </w:tc>
        <w:tc>
          <w:tcPr>
            <w:tcW w:w="681" w:type="pct"/>
            <w:vAlign w:val="center"/>
          </w:tcPr>
          <w:p w14:paraId="38E4395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5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5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5F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5A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5.12.c</w:t>
            </w:r>
          </w:p>
        </w:tc>
        <w:tc>
          <w:tcPr>
            <w:tcW w:w="2517" w:type="pct"/>
            <w:vAlign w:val="center"/>
          </w:tcPr>
          <w:p w14:paraId="38E4395B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Consider any change to the </w:t>
            </w:r>
            <w:r w:rsidRPr="00264813">
              <w:rPr>
                <w:rFonts w:ascii="Arial" w:hAnsi="Arial" w:cs="Arial"/>
                <w:b/>
                <w:sz w:val="20"/>
                <w:szCs w:val="20"/>
              </w:rPr>
              <w:t>risk profile</w:t>
            </w:r>
            <w:r w:rsidRPr="00264813">
              <w:rPr>
                <w:rFonts w:ascii="Arial" w:hAnsi="Arial" w:cs="Arial"/>
                <w:sz w:val="20"/>
                <w:szCs w:val="20"/>
              </w:rPr>
              <w:t xml:space="preserve"> of the matter and report and advise on such circumstances without delay, informing the </w:t>
            </w:r>
            <w:r w:rsidRPr="00264813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Pr="00264813">
              <w:rPr>
                <w:rFonts w:ascii="Arial" w:hAnsi="Arial" w:cs="Arial"/>
                <w:sz w:val="20"/>
                <w:szCs w:val="20"/>
              </w:rPr>
              <w:t xml:space="preserve"> if appropriate.</w:t>
            </w:r>
          </w:p>
        </w:tc>
        <w:tc>
          <w:tcPr>
            <w:tcW w:w="681" w:type="pct"/>
            <w:vAlign w:val="center"/>
          </w:tcPr>
          <w:p w14:paraId="38E4395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5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5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65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60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517" w:type="pct"/>
            <w:vAlign w:val="center"/>
          </w:tcPr>
          <w:p w14:paraId="38E43961" w14:textId="77777777" w:rsidR="00471E98" w:rsidRPr="00264813" w:rsidRDefault="00BD6657" w:rsidP="00BD665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D6657">
              <w:rPr>
                <w:rFonts w:ascii="Arial" w:hAnsi="Arial" w:cs="Arial"/>
                <w:sz w:val="20"/>
                <w:szCs w:val="20"/>
              </w:rPr>
              <w:t>Department's must</w:t>
            </w:r>
            <w:r w:rsidRPr="00FF6E01">
              <w:rPr>
                <w:rFonts w:ascii="Arial" w:hAnsi="Arial" w:cs="Arial"/>
                <w:sz w:val="20"/>
                <w:szCs w:val="20"/>
              </w:rPr>
              <w:t xml:space="preserve"> communicate the following to clients in writing, unless an alternative form of communication is deemed more appropriate:</w:t>
            </w:r>
          </w:p>
        </w:tc>
        <w:tc>
          <w:tcPr>
            <w:tcW w:w="681" w:type="pct"/>
            <w:vAlign w:val="center"/>
          </w:tcPr>
          <w:p w14:paraId="38E4396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6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6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657" w:rsidRPr="001D17F4" w14:paraId="38E4396B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66" w14:textId="77777777" w:rsidR="00BD6657" w:rsidRDefault="00BD6657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2.a</w:t>
            </w:r>
            <w:proofErr w:type="gramEnd"/>
          </w:p>
        </w:tc>
        <w:tc>
          <w:tcPr>
            <w:tcW w:w="2517" w:type="pct"/>
            <w:vAlign w:val="center"/>
          </w:tcPr>
          <w:p w14:paraId="38E43967" w14:textId="77777777" w:rsidR="00BD6657" w:rsidRPr="00264813" w:rsidDel="00BD6657" w:rsidRDefault="00BD6657" w:rsidP="00BD665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appropriate, establish the client's requirements and objectives.</w:t>
            </w:r>
          </w:p>
        </w:tc>
        <w:tc>
          <w:tcPr>
            <w:tcW w:w="681" w:type="pct"/>
            <w:vAlign w:val="center"/>
          </w:tcPr>
          <w:p w14:paraId="38E43968" w14:textId="77777777" w:rsidR="00BD6657" w:rsidRPr="00E041CE" w:rsidRDefault="00BD6657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69" w14:textId="77777777" w:rsidR="00BD6657" w:rsidRPr="00E041CE" w:rsidRDefault="00BD6657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6A" w14:textId="77777777" w:rsidR="00BD6657" w:rsidRPr="00E041CE" w:rsidRDefault="00BD6657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71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6C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2.b</w:t>
            </w:r>
            <w:proofErr w:type="gramEnd"/>
          </w:p>
        </w:tc>
        <w:tc>
          <w:tcPr>
            <w:tcW w:w="2517" w:type="pct"/>
            <w:vAlign w:val="center"/>
          </w:tcPr>
          <w:p w14:paraId="38E4396D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Provide a clear explanation of the issues involved and the options available to the client.</w:t>
            </w:r>
          </w:p>
        </w:tc>
        <w:tc>
          <w:tcPr>
            <w:tcW w:w="681" w:type="pct"/>
            <w:vAlign w:val="center"/>
          </w:tcPr>
          <w:p w14:paraId="38E4396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6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7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77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72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6.2.c</w:t>
            </w:r>
          </w:p>
        </w:tc>
        <w:tc>
          <w:tcPr>
            <w:tcW w:w="2517" w:type="pct"/>
            <w:vAlign w:val="center"/>
          </w:tcPr>
          <w:p w14:paraId="38E43973" w14:textId="77777777" w:rsidR="00471E98" w:rsidRPr="00264813" w:rsidRDefault="00471E98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Explain what the </w:t>
            </w:r>
            <w:r w:rsidR="008336CB" w:rsidRPr="00264813">
              <w:rPr>
                <w:rFonts w:ascii="Arial" w:hAnsi="Arial" w:cs="Arial"/>
                <w:sz w:val="20"/>
                <w:szCs w:val="20"/>
              </w:rPr>
              <w:t xml:space="preserve">legal advisor </w:t>
            </w:r>
            <w:r w:rsidRPr="00264813">
              <w:rPr>
                <w:rFonts w:ascii="Arial" w:hAnsi="Arial" w:cs="Arial"/>
                <w:sz w:val="20"/>
                <w:szCs w:val="20"/>
              </w:rPr>
              <w:t>will and will not do.</w:t>
            </w:r>
          </w:p>
        </w:tc>
        <w:tc>
          <w:tcPr>
            <w:tcW w:w="681" w:type="pct"/>
            <w:vAlign w:val="center"/>
          </w:tcPr>
          <w:p w14:paraId="38E4397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7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7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7D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78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2.d</w:t>
            </w:r>
            <w:proofErr w:type="gramEnd"/>
          </w:p>
        </w:tc>
        <w:tc>
          <w:tcPr>
            <w:tcW w:w="2517" w:type="pct"/>
            <w:vAlign w:val="center"/>
          </w:tcPr>
          <w:p w14:paraId="38E43979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Agree with the client the next steps to be taken.</w:t>
            </w:r>
          </w:p>
        </w:tc>
        <w:tc>
          <w:tcPr>
            <w:tcW w:w="681" w:type="pct"/>
            <w:vAlign w:val="center"/>
          </w:tcPr>
          <w:p w14:paraId="38E4397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7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7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83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7E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2.e</w:t>
            </w:r>
            <w:proofErr w:type="gramEnd"/>
          </w:p>
        </w:tc>
        <w:tc>
          <w:tcPr>
            <w:tcW w:w="2517" w:type="pct"/>
            <w:vAlign w:val="center"/>
          </w:tcPr>
          <w:p w14:paraId="38E4397F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Keep the client informed of progress, as agreed.</w:t>
            </w:r>
          </w:p>
        </w:tc>
        <w:tc>
          <w:tcPr>
            <w:tcW w:w="681" w:type="pct"/>
            <w:vAlign w:val="center"/>
          </w:tcPr>
          <w:p w14:paraId="38E4398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8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8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89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84" w14:textId="77777777" w:rsidR="00471E98" w:rsidRPr="00E041CE" w:rsidRDefault="00471E98" w:rsidP="00EA1283">
            <w:pPr>
              <w:tabs>
                <w:tab w:val="left" w:pos="709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2.f</w:t>
            </w:r>
            <w:proofErr w:type="gramEnd"/>
          </w:p>
        </w:tc>
        <w:tc>
          <w:tcPr>
            <w:tcW w:w="2517" w:type="pct"/>
            <w:vAlign w:val="center"/>
          </w:tcPr>
          <w:p w14:paraId="38E43985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Establish in what timescale that matter will be dealt with.</w:t>
            </w:r>
          </w:p>
        </w:tc>
        <w:tc>
          <w:tcPr>
            <w:tcW w:w="681" w:type="pct"/>
            <w:vAlign w:val="center"/>
          </w:tcPr>
          <w:p w14:paraId="38E4398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8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8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8F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8A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2.g</w:t>
            </w:r>
            <w:proofErr w:type="gramEnd"/>
          </w:p>
        </w:tc>
        <w:tc>
          <w:tcPr>
            <w:tcW w:w="2517" w:type="pct"/>
            <w:vAlign w:val="center"/>
          </w:tcPr>
          <w:p w14:paraId="38E4398B" w14:textId="77777777" w:rsidR="00471E98" w:rsidRPr="00264813" w:rsidRDefault="008336CB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Where appropriate, e</w:t>
            </w:r>
            <w:r w:rsidR="00471E98" w:rsidRPr="00264813">
              <w:rPr>
                <w:rFonts w:ascii="Arial" w:hAnsi="Arial" w:cs="Arial"/>
                <w:sz w:val="20"/>
                <w:szCs w:val="20"/>
              </w:rPr>
              <w:t>stablish the method of funding.</w:t>
            </w:r>
          </w:p>
        </w:tc>
        <w:tc>
          <w:tcPr>
            <w:tcW w:w="681" w:type="pct"/>
            <w:vAlign w:val="center"/>
          </w:tcPr>
          <w:p w14:paraId="38E4398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8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8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95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90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6.2.h</w:t>
            </w:r>
          </w:p>
        </w:tc>
        <w:tc>
          <w:tcPr>
            <w:tcW w:w="2517" w:type="pct"/>
            <w:vAlign w:val="center"/>
          </w:tcPr>
          <w:p w14:paraId="38E43991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Where appropriate, consider whether the intended action would be merited on a cost benefit analysis.</w:t>
            </w:r>
          </w:p>
        </w:tc>
        <w:tc>
          <w:tcPr>
            <w:tcW w:w="681" w:type="pct"/>
            <w:vAlign w:val="center"/>
          </w:tcPr>
          <w:p w14:paraId="38E4399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9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9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9B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96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2.i</w:t>
            </w:r>
            <w:proofErr w:type="gramEnd"/>
          </w:p>
        </w:tc>
        <w:tc>
          <w:tcPr>
            <w:tcW w:w="2517" w:type="pct"/>
            <w:vAlign w:val="center"/>
          </w:tcPr>
          <w:p w14:paraId="38E43997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Agree an appropriate level of service.</w:t>
            </w:r>
          </w:p>
        </w:tc>
        <w:tc>
          <w:tcPr>
            <w:tcW w:w="681" w:type="pct"/>
            <w:vAlign w:val="center"/>
          </w:tcPr>
          <w:p w14:paraId="38E4399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9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9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A1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9C" w14:textId="77777777" w:rsidR="00471E98" w:rsidRPr="00E041CE" w:rsidRDefault="00471E98" w:rsidP="00EA1283">
            <w:pPr>
              <w:tabs>
                <w:tab w:val="left" w:pos="709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2.j</w:t>
            </w:r>
            <w:proofErr w:type="gramEnd"/>
          </w:p>
        </w:tc>
        <w:tc>
          <w:tcPr>
            <w:tcW w:w="2517" w:type="pct"/>
            <w:vAlign w:val="center"/>
          </w:tcPr>
          <w:p w14:paraId="38E4399D" w14:textId="77777777" w:rsidR="00471E98" w:rsidRPr="00264813" w:rsidRDefault="00471E98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Explain the </w:t>
            </w:r>
            <w:r w:rsidR="008336CB" w:rsidRPr="00264813">
              <w:rPr>
                <w:rFonts w:ascii="Arial" w:hAnsi="Arial" w:cs="Arial"/>
                <w:sz w:val="20"/>
                <w:szCs w:val="20"/>
              </w:rPr>
              <w:t>department</w:t>
            </w:r>
            <w:r w:rsidRPr="00264813">
              <w:rPr>
                <w:rFonts w:ascii="Arial" w:hAnsi="Arial" w:cs="Arial"/>
                <w:sz w:val="20"/>
                <w:szCs w:val="20"/>
              </w:rPr>
              <w:t>'s responsibilities and the client’s.</w:t>
            </w:r>
          </w:p>
        </w:tc>
        <w:tc>
          <w:tcPr>
            <w:tcW w:w="681" w:type="pct"/>
            <w:vAlign w:val="center"/>
          </w:tcPr>
          <w:p w14:paraId="38E4399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9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A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A7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A2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2.k</w:t>
            </w:r>
            <w:proofErr w:type="gramEnd"/>
          </w:p>
        </w:tc>
        <w:tc>
          <w:tcPr>
            <w:tcW w:w="2517" w:type="pct"/>
            <w:vAlign w:val="center"/>
          </w:tcPr>
          <w:p w14:paraId="38E439A3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Provide the client with the name and status of the person dealing with their matter.</w:t>
            </w:r>
          </w:p>
        </w:tc>
        <w:tc>
          <w:tcPr>
            <w:tcW w:w="681" w:type="pct"/>
            <w:vAlign w:val="center"/>
          </w:tcPr>
          <w:p w14:paraId="38E439A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A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A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AD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A8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2.l</w:t>
            </w:r>
            <w:proofErr w:type="gramEnd"/>
          </w:p>
        </w:tc>
        <w:tc>
          <w:tcPr>
            <w:tcW w:w="2517" w:type="pct"/>
            <w:vAlign w:val="center"/>
          </w:tcPr>
          <w:p w14:paraId="38E439A9" w14:textId="1442D978" w:rsidR="00471E98" w:rsidRPr="00264813" w:rsidRDefault="00264813" w:rsidP="00EA1283">
            <w:pPr>
              <w:tabs>
                <w:tab w:val="left" w:pos="0"/>
                <w:tab w:val="left" w:pos="33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8336CB" w:rsidRPr="00264813">
              <w:rPr>
                <w:rFonts w:ascii="Arial" w:hAnsi="Arial" w:cs="Arial"/>
                <w:sz w:val="20"/>
                <w:szCs w:val="20"/>
              </w:rPr>
              <w:t xml:space="preserve">here appropriate, </w:t>
            </w:r>
            <w:r w:rsidR="00983937">
              <w:rPr>
                <w:rFonts w:ascii="Arial" w:hAnsi="Arial" w:cs="Arial"/>
                <w:sz w:val="20"/>
                <w:szCs w:val="20"/>
              </w:rPr>
              <w:t xml:space="preserve">provide the client with </w:t>
            </w:r>
            <w:r w:rsidR="008336CB" w:rsidRPr="00264813">
              <w:rPr>
                <w:rFonts w:ascii="Arial" w:hAnsi="Arial" w:cs="Arial"/>
                <w:sz w:val="20"/>
                <w:szCs w:val="20"/>
              </w:rPr>
              <w:t>the name and status of the person responsible for the overall supervision of their matter.</w:t>
            </w:r>
          </w:p>
        </w:tc>
        <w:tc>
          <w:tcPr>
            <w:tcW w:w="681" w:type="pct"/>
            <w:vAlign w:val="center"/>
          </w:tcPr>
          <w:p w14:paraId="38E439A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A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A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976" w:rsidRPr="001D17F4" w14:paraId="61F525EF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0EC3522" w14:textId="23F0A177" w:rsidR="00D82976" w:rsidRDefault="00C275BC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6.2.m</w:t>
            </w:r>
          </w:p>
        </w:tc>
        <w:tc>
          <w:tcPr>
            <w:tcW w:w="2517" w:type="pct"/>
            <w:vAlign w:val="center"/>
          </w:tcPr>
          <w:p w14:paraId="70BF257A" w14:textId="103E983B" w:rsidR="00D82976" w:rsidRPr="00C275BC" w:rsidRDefault="00833C9B" w:rsidP="00EA1283">
            <w:pPr>
              <w:tabs>
                <w:tab w:val="left" w:pos="0"/>
                <w:tab w:val="left" w:pos="3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275BC">
              <w:rPr>
                <w:rFonts w:ascii="Arial" w:hAnsi="Arial" w:cs="Arial"/>
                <w:sz w:val="20"/>
              </w:rPr>
              <w:t xml:space="preserve">where appropriate, explain to the client their rights as data subjects and provide the client with the name of the person responsible </w:t>
            </w:r>
            <w:r w:rsidRPr="00C275BC">
              <w:rPr>
                <w:rFonts w:ascii="Arial" w:hAnsi="Arial" w:cs="Arial"/>
                <w:spacing w:val="-4"/>
                <w:sz w:val="20"/>
              </w:rPr>
              <w:t xml:space="preserve">for </w:t>
            </w:r>
            <w:r w:rsidRPr="00C275BC">
              <w:rPr>
                <w:rFonts w:ascii="Arial" w:hAnsi="Arial" w:cs="Arial"/>
                <w:sz w:val="20"/>
              </w:rPr>
              <w:t>data protection.</w:t>
            </w:r>
          </w:p>
        </w:tc>
        <w:tc>
          <w:tcPr>
            <w:tcW w:w="681" w:type="pct"/>
            <w:vAlign w:val="center"/>
          </w:tcPr>
          <w:p w14:paraId="700DA823" w14:textId="77777777" w:rsidR="00D82976" w:rsidRPr="00E041CE" w:rsidRDefault="00D82976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56F8396E" w14:textId="77777777" w:rsidR="00D82976" w:rsidRPr="00E041CE" w:rsidRDefault="00D82976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0BC00E66" w14:textId="77777777" w:rsidR="00D82976" w:rsidRPr="00E041CE" w:rsidRDefault="00D82976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B3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AE" w14:textId="77777777" w:rsidR="00471E98" w:rsidRPr="001E1245" w:rsidRDefault="00471E98" w:rsidP="00EA1283">
            <w:pPr>
              <w:tabs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1E1245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517" w:type="pct"/>
            <w:vAlign w:val="center"/>
          </w:tcPr>
          <w:p w14:paraId="38E439AF" w14:textId="27B4CFAA" w:rsidR="00471E98" w:rsidRPr="00F95CC5" w:rsidRDefault="00F57DD5" w:rsidP="00EA1283">
            <w:pPr>
              <w:tabs>
                <w:tab w:val="left" w:pos="0"/>
                <w:tab w:val="left" w:pos="1134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95CC5">
              <w:rPr>
                <w:rFonts w:ascii="Arial" w:hAnsi="Arial" w:cs="Arial"/>
                <w:sz w:val="20"/>
              </w:rPr>
              <w:t xml:space="preserve">Where appropriate, the department </w:t>
            </w:r>
            <w:r w:rsidRPr="00F95CC5">
              <w:rPr>
                <w:rFonts w:ascii="Arial" w:hAnsi="Arial" w:cs="Arial"/>
                <w:b/>
                <w:sz w:val="20"/>
              </w:rPr>
              <w:t xml:space="preserve">should </w:t>
            </w:r>
            <w:r w:rsidRPr="00F95CC5">
              <w:rPr>
                <w:rFonts w:ascii="Arial" w:hAnsi="Arial" w:cs="Arial"/>
                <w:sz w:val="20"/>
              </w:rPr>
              <w:t xml:space="preserve">have a service level or similar agreement with their client departments. There </w:t>
            </w:r>
            <w:r w:rsidRPr="00F95CC5">
              <w:rPr>
                <w:rFonts w:ascii="Arial" w:hAnsi="Arial" w:cs="Arial"/>
                <w:b/>
                <w:sz w:val="20"/>
              </w:rPr>
              <w:t xml:space="preserve">should </w:t>
            </w:r>
            <w:r w:rsidRPr="00F95CC5">
              <w:rPr>
                <w:rFonts w:ascii="Arial" w:hAnsi="Arial" w:cs="Arial"/>
                <w:sz w:val="20"/>
              </w:rPr>
              <w:t xml:space="preserve">be a </w:t>
            </w:r>
            <w:r w:rsidRPr="00F95CC5">
              <w:rPr>
                <w:rFonts w:ascii="Arial" w:hAnsi="Arial" w:cs="Arial"/>
                <w:b/>
                <w:sz w:val="20"/>
              </w:rPr>
              <w:t xml:space="preserve">procedure </w:t>
            </w:r>
            <w:r w:rsidRPr="00F95CC5">
              <w:rPr>
                <w:rFonts w:ascii="Arial" w:hAnsi="Arial" w:cs="Arial"/>
                <w:sz w:val="20"/>
              </w:rPr>
              <w:t>to regularly review such agreements to ensure they are in plain</w:t>
            </w:r>
            <w:r w:rsidRPr="00F95CC5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F95CC5">
              <w:rPr>
                <w:rFonts w:ascii="Arial" w:hAnsi="Arial" w:cs="Arial"/>
                <w:sz w:val="20"/>
              </w:rPr>
              <w:t>English.</w:t>
            </w:r>
          </w:p>
        </w:tc>
        <w:tc>
          <w:tcPr>
            <w:tcW w:w="681" w:type="pct"/>
            <w:vAlign w:val="center"/>
          </w:tcPr>
          <w:p w14:paraId="38E439B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B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B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245" w:rsidRPr="001D17F4" w14:paraId="38E439B9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B4" w14:textId="77777777" w:rsidR="001E1245" w:rsidRPr="001E1245" w:rsidRDefault="001E1245" w:rsidP="00EA1283">
            <w:pPr>
              <w:tabs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517" w:type="pct"/>
            <w:vAlign w:val="center"/>
          </w:tcPr>
          <w:p w14:paraId="38E439B5" w14:textId="77777777" w:rsidR="001E1245" w:rsidRPr="001E1245" w:rsidRDefault="008C1246" w:rsidP="008C1246">
            <w:pPr>
              <w:tabs>
                <w:tab w:val="left" w:pos="0"/>
                <w:tab w:val="left" w:pos="113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appropriate, d</w:t>
            </w:r>
            <w:r w:rsidR="001E1245">
              <w:rPr>
                <w:rFonts w:ascii="Arial" w:hAnsi="Arial" w:cs="Arial"/>
                <w:sz w:val="20"/>
                <w:szCs w:val="20"/>
              </w:rPr>
              <w:t xml:space="preserve">epartments must give clients the best information possible about the likely overall cost of the matter, both at the outset and when appropriate, as the matter progresses.  </w:t>
            </w:r>
            <w:proofErr w:type="gramStart"/>
            <w:r w:rsidR="001E1245">
              <w:rPr>
                <w:rFonts w:ascii="Arial" w:hAnsi="Arial" w:cs="Arial"/>
                <w:sz w:val="20"/>
                <w:szCs w:val="20"/>
              </w:rPr>
              <w:t>In particular, practices</w:t>
            </w:r>
            <w:proofErr w:type="gramEnd"/>
            <w:r w:rsidR="001E1245">
              <w:rPr>
                <w:rFonts w:ascii="Arial" w:hAnsi="Arial" w:cs="Arial"/>
                <w:sz w:val="20"/>
                <w:szCs w:val="20"/>
              </w:rPr>
              <w:t xml:space="preserve"> must:</w:t>
            </w:r>
          </w:p>
        </w:tc>
        <w:tc>
          <w:tcPr>
            <w:tcW w:w="681" w:type="pct"/>
            <w:vAlign w:val="center"/>
          </w:tcPr>
          <w:p w14:paraId="38E439B6" w14:textId="77777777" w:rsidR="001E1245" w:rsidRPr="00E041CE" w:rsidRDefault="001E1245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B7" w14:textId="77777777" w:rsidR="001E1245" w:rsidRPr="00E041CE" w:rsidRDefault="001E1245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B8" w14:textId="77777777" w:rsidR="001E1245" w:rsidRPr="00E041CE" w:rsidRDefault="001E1245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BF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BA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4.a</w:t>
            </w:r>
            <w:proofErr w:type="gramEnd"/>
          </w:p>
        </w:tc>
        <w:tc>
          <w:tcPr>
            <w:tcW w:w="2517" w:type="pct"/>
            <w:vAlign w:val="center"/>
          </w:tcPr>
          <w:p w14:paraId="38E439BB" w14:textId="77777777" w:rsidR="00471E98" w:rsidRPr="00264813" w:rsidRDefault="00471E98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Advise the client of the basis of the </w:t>
            </w:r>
            <w:r w:rsidR="008336CB" w:rsidRPr="00264813">
              <w:rPr>
                <w:rFonts w:ascii="Arial" w:hAnsi="Arial" w:cs="Arial"/>
                <w:sz w:val="20"/>
                <w:szCs w:val="20"/>
              </w:rPr>
              <w:t>department</w:t>
            </w:r>
            <w:r w:rsidRPr="00264813">
              <w:rPr>
                <w:rFonts w:ascii="Arial" w:hAnsi="Arial" w:cs="Arial"/>
                <w:sz w:val="20"/>
                <w:szCs w:val="20"/>
              </w:rPr>
              <w:t>'s charging.</w:t>
            </w:r>
          </w:p>
        </w:tc>
        <w:tc>
          <w:tcPr>
            <w:tcW w:w="681" w:type="pct"/>
            <w:vAlign w:val="center"/>
          </w:tcPr>
          <w:p w14:paraId="38E439B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B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B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C5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C0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4.b</w:t>
            </w:r>
            <w:proofErr w:type="gramEnd"/>
          </w:p>
        </w:tc>
        <w:tc>
          <w:tcPr>
            <w:tcW w:w="2517" w:type="pct"/>
            <w:vAlign w:val="center"/>
          </w:tcPr>
          <w:p w14:paraId="38E439C1" w14:textId="77777777" w:rsidR="00471E98" w:rsidRPr="00264813" w:rsidRDefault="00471E98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Advise the client where the </w:t>
            </w:r>
            <w:r w:rsidR="008336CB" w:rsidRPr="00264813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264813">
              <w:rPr>
                <w:rFonts w:ascii="Arial" w:hAnsi="Arial" w:cs="Arial"/>
                <w:sz w:val="20"/>
                <w:szCs w:val="20"/>
              </w:rPr>
              <w:t xml:space="preserve"> will receive a financial benefit as a result of accepting instructions.</w:t>
            </w:r>
          </w:p>
        </w:tc>
        <w:tc>
          <w:tcPr>
            <w:tcW w:w="681" w:type="pct"/>
            <w:vAlign w:val="center"/>
          </w:tcPr>
          <w:p w14:paraId="38E439C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C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C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CB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C6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6.4.c</w:t>
            </w:r>
          </w:p>
        </w:tc>
        <w:tc>
          <w:tcPr>
            <w:tcW w:w="2517" w:type="pct"/>
            <w:vAlign w:val="center"/>
          </w:tcPr>
          <w:p w14:paraId="38E439C7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Advise the client if the charging rates are to be increased.</w:t>
            </w:r>
          </w:p>
        </w:tc>
        <w:tc>
          <w:tcPr>
            <w:tcW w:w="681" w:type="pct"/>
            <w:vAlign w:val="center"/>
          </w:tcPr>
          <w:p w14:paraId="38E439C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C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C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D1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CC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4.d</w:t>
            </w:r>
            <w:proofErr w:type="gramEnd"/>
          </w:p>
        </w:tc>
        <w:tc>
          <w:tcPr>
            <w:tcW w:w="2517" w:type="pct"/>
            <w:vAlign w:val="center"/>
          </w:tcPr>
          <w:p w14:paraId="38E439CD" w14:textId="77777777" w:rsidR="00471E98" w:rsidRPr="00264813" w:rsidRDefault="00471E98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Advise the client of likely payments which the </w:t>
            </w:r>
            <w:r w:rsidR="008336CB" w:rsidRPr="00264813">
              <w:rPr>
                <w:rFonts w:ascii="Arial" w:hAnsi="Arial" w:cs="Arial"/>
                <w:sz w:val="20"/>
                <w:szCs w:val="20"/>
              </w:rPr>
              <w:t>department</w:t>
            </w:r>
            <w:r w:rsidRPr="00264813">
              <w:rPr>
                <w:rFonts w:ascii="Arial" w:hAnsi="Arial" w:cs="Arial"/>
                <w:sz w:val="20"/>
                <w:szCs w:val="20"/>
              </w:rPr>
              <w:t xml:space="preserve"> or the client may need to make to others.</w:t>
            </w:r>
          </w:p>
        </w:tc>
        <w:tc>
          <w:tcPr>
            <w:tcW w:w="681" w:type="pct"/>
            <w:vAlign w:val="center"/>
          </w:tcPr>
          <w:p w14:paraId="38E439C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C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D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D7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D2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4.e</w:t>
            </w:r>
            <w:proofErr w:type="gramEnd"/>
          </w:p>
        </w:tc>
        <w:tc>
          <w:tcPr>
            <w:tcW w:w="2517" w:type="pct"/>
            <w:vAlign w:val="center"/>
          </w:tcPr>
          <w:p w14:paraId="38E439D3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Discuss with the client how they will pay.</w:t>
            </w:r>
          </w:p>
        </w:tc>
        <w:tc>
          <w:tcPr>
            <w:tcW w:w="681" w:type="pct"/>
            <w:vAlign w:val="center"/>
          </w:tcPr>
          <w:p w14:paraId="38E439D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D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D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DD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D8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4.f</w:t>
            </w:r>
            <w:proofErr w:type="gramEnd"/>
          </w:p>
        </w:tc>
        <w:tc>
          <w:tcPr>
            <w:tcW w:w="2517" w:type="pct"/>
            <w:vAlign w:val="center"/>
          </w:tcPr>
          <w:p w14:paraId="38E439D9" w14:textId="77777777" w:rsidR="00471E98" w:rsidRPr="00264813" w:rsidRDefault="00471E98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Advise the client that there are circumstances where the </w:t>
            </w:r>
            <w:r w:rsidR="008336CB" w:rsidRPr="00264813">
              <w:rPr>
                <w:rFonts w:ascii="Arial" w:hAnsi="Arial" w:cs="Arial"/>
                <w:sz w:val="20"/>
                <w:szCs w:val="20"/>
              </w:rPr>
              <w:t>department</w:t>
            </w:r>
            <w:r w:rsidRPr="00264813">
              <w:rPr>
                <w:rFonts w:ascii="Arial" w:hAnsi="Arial" w:cs="Arial"/>
                <w:sz w:val="20"/>
                <w:szCs w:val="20"/>
              </w:rPr>
              <w:t xml:space="preserve"> may be entitled to exercise a lien for unpaid costs.</w:t>
            </w:r>
          </w:p>
        </w:tc>
        <w:tc>
          <w:tcPr>
            <w:tcW w:w="681" w:type="pct"/>
            <w:vAlign w:val="center"/>
          </w:tcPr>
          <w:p w14:paraId="38E439D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D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D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E3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DE" w14:textId="77777777" w:rsidR="00471E98" w:rsidRPr="00E041CE" w:rsidRDefault="00471E98" w:rsidP="00EA1283">
            <w:pPr>
              <w:tabs>
                <w:tab w:val="left" w:pos="537"/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4.g</w:t>
            </w:r>
            <w:proofErr w:type="gramEnd"/>
          </w:p>
        </w:tc>
        <w:tc>
          <w:tcPr>
            <w:tcW w:w="2517" w:type="pct"/>
            <w:vAlign w:val="center"/>
          </w:tcPr>
          <w:p w14:paraId="38E439DF" w14:textId="77777777" w:rsidR="00471E98" w:rsidRPr="00264813" w:rsidRDefault="00471E98" w:rsidP="00EA1283">
            <w:pPr>
              <w:tabs>
                <w:tab w:val="left" w:pos="-110"/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Advise the client of their potential liability for any other party’s costs.</w:t>
            </w:r>
          </w:p>
        </w:tc>
        <w:tc>
          <w:tcPr>
            <w:tcW w:w="681" w:type="pct"/>
            <w:vAlign w:val="center"/>
          </w:tcPr>
          <w:p w14:paraId="38E439E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E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E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E9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E4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2517" w:type="pct"/>
            <w:vAlign w:val="center"/>
          </w:tcPr>
          <w:p w14:paraId="38E439E5" w14:textId="77777777" w:rsidR="00471E98" w:rsidRPr="00264813" w:rsidRDefault="00405093" w:rsidP="00EA1283">
            <w:pPr>
              <w:tabs>
                <w:tab w:val="left" w:pos="0"/>
                <w:tab w:val="left" w:pos="567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C1DC0">
              <w:rPr>
                <w:rFonts w:ascii="Arial" w:hAnsi="Arial" w:cs="Arial"/>
                <w:sz w:val="20"/>
                <w:szCs w:val="20"/>
              </w:rPr>
              <w:t xml:space="preserve"> Complaints procedure used if any complaint raised by a client.</w:t>
            </w:r>
          </w:p>
        </w:tc>
        <w:tc>
          <w:tcPr>
            <w:tcW w:w="681" w:type="pct"/>
            <w:vAlign w:val="center"/>
          </w:tcPr>
          <w:p w14:paraId="38E439E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E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E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EF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EA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517" w:type="pct"/>
            <w:vAlign w:val="center"/>
          </w:tcPr>
          <w:p w14:paraId="38E439EB" w14:textId="77777777" w:rsidR="00471E98" w:rsidRPr="00264813" w:rsidRDefault="00405093" w:rsidP="00EA1283">
            <w:pPr>
              <w:tabs>
                <w:tab w:val="left" w:pos="0"/>
                <w:tab w:val="left" w:pos="567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Matter strategy/Complex case plan apparent on file.</w:t>
            </w:r>
          </w:p>
        </w:tc>
        <w:tc>
          <w:tcPr>
            <w:tcW w:w="681" w:type="pct"/>
            <w:vAlign w:val="center"/>
          </w:tcPr>
          <w:p w14:paraId="38E439E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E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E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F5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F0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517" w:type="pct"/>
            <w:vAlign w:val="center"/>
          </w:tcPr>
          <w:p w14:paraId="38E439F1" w14:textId="77777777" w:rsidR="00471E98" w:rsidRPr="00264813" w:rsidRDefault="00405093" w:rsidP="00EA1283">
            <w:pPr>
              <w:tabs>
                <w:tab w:val="left" w:pos="0"/>
                <w:tab w:val="left" w:pos="567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92489">
              <w:rPr>
                <w:rFonts w:ascii="Arial" w:hAnsi="Arial" w:cs="Arial"/>
                <w:sz w:val="20"/>
                <w:szCs w:val="20"/>
              </w:rPr>
              <w:t xml:space="preserve"> Any undertakings shown clearly</w:t>
            </w:r>
            <w:r w:rsidR="008C12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  <w:vAlign w:val="center"/>
          </w:tcPr>
          <w:p w14:paraId="38E439F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F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F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9FB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F6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3.b</w:t>
            </w:r>
            <w:proofErr w:type="gramEnd"/>
          </w:p>
        </w:tc>
        <w:tc>
          <w:tcPr>
            <w:tcW w:w="2517" w:type="pct"/>
            <w:vAlign w:val="center"/>
          </w:tcPr>
          <w:p w14:paraId="38E439F7" w14:textId="77777777" w:rsidR="00471E98" w:rsidRPr="00264813" w:rsidRDefault="00405093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71E98" w:rsidRPr="00264813">
              <w:rPr>
                <w:rFonts w:ascii="Arial" w:eastAsia="Times New Roman" w:hAnsi="Arial" w:cs="Arial"/>
                <w:sz w:val="20"/>
                <w:szCs w:val="20"/>
              </w:rPr>
              <w:t>ocuments, files, deeds, wills or any other items relating to the 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identifiable and traceable.</w:t>
            </w:r>
          </w:p>
        </w:tc>
        <w:tc>
          <w:tcPr>
            <w:tcW w:w="681" w:type="pct"/>
            <w:vAlign w:val="center"/>
          </w:tcPr>
          <w:p w14:paraId="38E439F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F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9F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01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9FC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3.d</w:t>
            </w:r>
            <w:proofErr w:type="gramEnd"/>
          </w:p>
        </w:tc>
        <w:tc>
          <w:tcPr>
            <w:tcW w:w="2517" w:type="pct"/>
            <w:vAlign w:val="center"/>
          </w:tcPr>
          <w:p w14:paraId="38E439FD" w14:textId="77777777" w:rsidR="00471E98" w:rsidRPr="00264813" w:rsidRDefault="00471E98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eastAsia="Times New Roman" w:hAnsi="Arial" w:cs="Arial"/>
                <w:sz w:val="20"/>
                <w:szCs w:val="20"/>
              </w:rPr>
              <w:t xml:space="preserve">Ensure that the status of the matter and the action taken can be easily checked by other members of the </w:t>
            </w:r>
            <w:r w:rsidR="008336CB" w:rsidRPr="00264813">
              <w:rPr>
                <w:rFonts w:ascii="Arial" w:eastAsia="Times New Roman" w:hAnsi="Arial" w:cs="Arial"/>
                <w:sz w:val="20"/>
                <w:szCs w:val="20"/>
              </w:rPr>
              <w:t>department</w:t>
            </w:r>
            <w:r w:rsidRPr="0026481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  <w:vAlign w:val="center"/>
          </w:tcPr>
          <w:p w14:paraId="38E439F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9F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A0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07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A02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3.e</w:t>
            </w:r>
            <w:proofErr w:type="gramEnd"/>
          </w:p>
        </w:tc>
        <w:tc>
          <w:tcPr>
            <w:tcW w:w="2517" w:type="pct"/>
            <w:vAlign w:val="center"/>
          </w:tcPr>
          <w:p w14:paraId="38E43A03" w14:textId="77777777" w:rsidR="00471E98" w:rsidRPr="00264813" w:rsidRDefault="00471E98" w:rsidP="00EA1283">
            <w:pPr>
              <w:tabs>
                <w:tab w:val="left" w:pos="0"/>
                <w:tab w:val="left" w:pos="567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eastAsia="Times New Roman" w:hAnsi="Arial" w:cs="Arial"/>
                <w:sz w:val="20"/>
                <w:szCs w:val="20"/>
              </w:rPr>
              <w:t>Ensure that documents are stored on the matter file(s) in an orderly way.</w:t>
            </w:r>
          </w:p>
        </w:tc>
        <w:tc>
          <w:tcPr>
            <w:tcW w:w="681" w:type="pct"/>
            <w:vAlign w:val="center"/>
          </w:tcPr>
          <w:p w14:paraId="38E43A0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A0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A0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0D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A08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4.a</w:t>
            </w:r>
            <w:proofErr w:type="gramEnd"/>
          </w:p>
        </w:tc>
        <w:tc>
          <w:tcPr>
            <w:tcW w:w="2517" w:type="pct"/>
            <w:vAlign w:val="center"/>
          </w:tcPr>
          <w:p w14:paraId="38E43A09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eastAsia="Times New Roman" w:hAnsi="Arial" w:cs="Arial"/>
                <w:sz w:val="20"/>
                <w:szCs w:val="20"/>
              </w:rPr>
              <w:t xml:space="preserve">Key information </w:t>
            </w:r>
            <w:r w:rsidRPr="00264813">
              <w:rPr>
                <w:rFonts w:ascii="Arial" w:eastAsia="Times New Roman" w:hAnsi="Arial" w:cs="Arial"/>
                <w:b/>
                <w:sz w:val="20"/>
                <w:szCs w:val="20"/>
              </w:rPr>
              <w:t>must</w:t>
            </w:r>
            <w:r w:rsidRPr="00264813">
              <w:rPr>
                <w:rFonts w:ascii="Arial" w:eastAsia="Times New Roman" w:hAnsi="Arial" w:cs="Arial"/>
                <w:sz w:val="20"/>
                <w:szCs w:val="20"/>
              </w:rPr>
              <w:t xml:space="preserve"> be recorded on the file.</w:t>
            </w:r>
          </w:p>
        </w:tc>
        <w:tc>
          <w:tcPr>
            <w:tcW w:w="681" w:type="pct"/>
            <w:vAlign w:val="center"/>
          </w:tcPr>
          <w:p w14:paraId="38E43A0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A0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A0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13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A0E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4.b</w:t>
            </w:r>
            <w:proofErr w:type="gramEnd"/>
          </w:p>
        </w:tc>
        <w:tc>
          <w:tcPr>
            <w:tcW w:w="2517" w:type="pct"/>
            <w:vAlign w:val="center"/>
          </w:tcPr>
          <w:p w14:paraId="38E43A0F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eastAsia="Times New Roman" w:hAnsi="Arial" w:cs="Arial"/>
                <w:sz w:val="20"/>
                <w:szCs w:val="20"/>
              </w:rPr>
              <w:t>A timely response is made to telephone calls and correspondence from the client and others.</w:t>
            </w:r>
          </w:p>
        </w:tc>
        <w:tc>
          <w:tcPr>
            <w:tcW w:w="681" w:type="pct"/>
            <w:vAlign w:val="center"/>
          </w:tcPr>
          <w:p w14:paraId="38E43A1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A1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A1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19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A14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7.4.c</w:t>
            </w:r>
          </w:p>
        </w:tc>
        <w:tc>
          <w:tcPr>
            <w:tcW w:w="2517" w:type="pct"/>
            <w:vAlign w:val="center"/>
          </w:tcPr>
          <w:p w14:paraId="38E43A15" w14:textId="77777777" w:rsidR="00471E98" w:rsidRPr="00264813" w:rsidRDefault="008336CB" w:rsidP="008336CB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Where appropriate</w:t>
            </w:r>
            <w:r w:rsidRPr="00264813">
              <w:rPr>
                <w:rFonts w:ascii="Arial" w:eastAsia="Times New Roman" w:hAnsi="Arial" w:cs="Arial"/>
                <w:sz w:val="20"/>
                <w:szCs w:val="20"/>
              </w:rPr>
              <w:t>, c</w:t>
            </w:r>
            <w:r w:rsidR="00471E98" w:rsidRPr="00264813">
              <w:rPr>
                <w:rFonts w:ascii="Arial" w:eastAsia="Times New Roman" w:hAnsi="Arial" w:cs="Arial"/>
                <w:sz w:val="20"/>
                <w:szCs w:val="20"/>
              </w:rPr>
              <w:t>ontinuing cost information is provided.</w:t>
            </w:r>
          </w:p>
        </w:tc>
        <w:tc>
          <w:tcPr>
            <w:tcW w:w="681" w:type="pct"/>
            <w:vAlign w:val="center"/>
          </w:tcPr>
          <w:p w14:paraId="38E43A1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A1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A1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1F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A1A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4.d</w:t>
            </w:r>
            <w:proofErr w:type="gramEnd"/>
          </w:p>
        </w:tc>
        <w:tc>
          <w:tcPr>
            <w:tcW w:w="2517" w:type="pct"/>
            <w:vAlign w:val="center"/>
          </w:tcPr>
          <w:p w14:paraId="38E43A1B" w14:textId="77777777" w:rsidR="00471E98" w:rsidRPr="00264813" w:rsidRDefault="00471E98" w:rsidP="00EA1283">
            <w:pPr>
              <w:tabs>
                <w:tab w:val="left" w:pos="0"/>
                <w:tab w:val="left" w:pos="33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eastAsia="Times New Roman" w:hAnsi="Arial" w:cs="Arial"/>
                <w:sz w:val="20"/>
                <w:szCs w:val="20"/>
              </w:rPr>
              <w:t>Clients are informed in writing if the person with conduct of their matter changes, or there is a change of person to whom any problem with service may be addressed.</w:t>
            </w:r>
          </w:p>
        </w:tc>
        <w:tc>
          <w:tcPr>
            <w:tcW w:w="681" w:type="pct"/>
            <w:vAlign w:val="center"/>
          </w:tcPr>
          <w:p w14:paraId="38E43A1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A1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A1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25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A20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5.b</w:t>
            </w:r>
            <w:proofErr w:type="gramEnd"/>
          </w:p>
        </w:tc>
        <w:tc>
          <w:tcPr>
            <w:tcW w:w="2517" w:type="pct"/>
            <w:vAlign w:val="center"/>
          </w:tcPr>
          <w:p w14:paraId="38E43A21" w14:textId="77777777" w:rsidR="00471E98" w:rsidRPr="0026481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eastAsia="Times New Roman" w:hAnsi="Arial" w:cs="Arial"/>
                <w:sz w:val="20"/>
                <w:szCs w:val="20"/>
              </w:rPr>
              <w:t>Where appropriate, consult with the client in relation to the selection of an advocate or other professional.</w:t>
            </w:r>
          </w:p>
        </w:tc>
        <w:tc>
          <w:tcPr>
            <w:tcW w:w="681" w:type="pct"/>
            <w:vAlign w:val="center"/>
          </w:tcPr>
          <w:p w14:paraId="38E43A2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A2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A2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2B" w14:textId="77777777" w:rsidTr="00863F5D">
        <w:trPr>
          <w:trHeight w:val="425"/>
        </w:trPr>
        <w:tc>
          <w:tcPr>
            <w:tcW w:w="405" w:type="pct"/>
            <w:vAlign w:val="center"/>
          </w:tcPr>
          <w:p w14:paraId="38E43A26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7.5.c</w:t>
            </w:r>
          </w:p>
        </w:tc>
        <w:tc>
          <w:tcPr>
            <w:tcW w:w="2517" w:type="pct"/>
            <w:vAlign w:val="center"/>
          </w:tcPr>
          <w:p w14:paraId="38E43A27" w14:textId="77777777" w:rsidR="00471E98" w:rsidRPr="00264813" w:rsidRDefault="00405093" w:rsidP="0040509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471E98" w:rsidRPr="00264813">
              <w:rPr>
                <w:rFonts w:ascii="Arial" w:eastAsia="Times New Roman" w:hAnsi="Arial" w:cs="Arial"/>
                <w:sz w:val="20"/>
                <w:szCs w:val="20"/>
              </w:rPr>
              <w:t xml:space="preserve">lient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informed </w:t>
            </w:r>
            <w:r w:rsidR="00471E98" w:rsidRPr="00264813">
              <w:rPr>
                <w:rFonts w:ascii="Arial" w:eastAsia="Times New Roman" w:hAnsi="Arial" w:cs="Arial"/>
                <w:sz w:val="20"/>
                <w:szCs w:val="20"/>
              </w:rPr>
              <w:t>of the name and status of the person being instructed, how long she/he might take to respond and, where disbursements are to be paid by the client, the cost involved.</w:t>
            </w:r>
          </w:p>
        </w:tc>
        <w:tc>
          <w:tcPr>
            <w:tcW w:w="681" w:type="pct"/>
            <w:vAlign w:val="center"/>
          </w:tcPr>
          <w:p w14:paraId="38E43A2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14:paraId="38E43A2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14:paraId="38E43A2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E43A2C" w14:textId="77777777" w:rsidR="00471E98" w:rsidRDefault="00471E98" w:rsidP="00471E98">
      <w:pPr>
        <w:jc w:val="both"/>
        <w:rPr>
          <w:rFonts w:ascii="Arial" w:hAnsi="Arial" w:cs="Arial"/>
        </w:rPr>
      </w:pPr>
    </w:p>
    <w:p w14:paraId="38E43A2D" w14:textId="77777777" w:rsidR="00471E98" w:rsidRDefault="00471E98" w:rsidP="00863F5D">
      <w:pPr>
        <w:spacing w:after="16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Procedures to be assessed on closed files</w:t>
      </w:r>
    </w:p>
    <w:tbl>
      <w:tblPr>
        <w:tblW w:w="50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90"/>
        <w:gridCol w:w="1434"/>
        <w:gridCol w:w="1438"/>
        <w:gridCol w:w="1428"/>
      </w:tblGrid>
      <w:tr w:rsidR="00471E98" w:rsidRPr="001D17F4" w14:paraId="38E43A30" w14:textId="77777777" w:rsidTr="00863F5D">
        <w:trPr>
          <w:trHeight w:val="425"/>
          <w:tblHeader/>
        </w:trPr>
        <w:tc>
          <w:tcPr>
            <w:tcW w:w="2859" w:type="pct"/>
            <w:gridSpan w:val="2"/>
            <w:shd w:val="pct15" w:color="auto" w:fill="auto"/>
            <w:vAlign w:val="center"/>
          </w:tcPr>
          <w:p w14:paraId="38E43A2E" w14:textId="77777777" w:rsidR="00471E98" w:rsidRPr="001D17F4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Lexcel requirement</w:t>
            </w:r>
          </w:p>
        </w:tc>
        <w:tc>
          <w:tcPr>
            <w:tcW w:w="2141" w:type="pct"/>
            <w:gridSpan w:val="3"/>
            <w:shd w:val="pct15" w:color="auto" w:fill="auto"/>
            <w:vAlign w:val="center"/>
          </w:tcPr>
          <w:p w14:paraId="38E43A2F" w14:textId="77777777" w:rsidR="00471E98" w:rsidRPr="001D17F4" w:rsidRDefault="00471E98" w:rsidP="00EA12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4">
              <w:rPr>
                <w:rFonts w:ascii="Arial" w:hAnsi="Arial" w:cs="Arial"/>
                <w:b/>
                <w:sz w:val="20"/>
                <w:szCs w:val="20"/>
              </w:rPr>
              <w:t>File number</w:t>
            </w:r>
          </w:p>
        </w:tc>
      </w:tr>
      <w:tr w:rsidR="00471E98" w:rsidRPr="001D17F4" w14:paraId="38E43A36" w14:textId="77777777" w:rsidTr="009C2899">
        <w:trPr>
          <w:trHeight w:val="425"/>
        </w:trPr>
        <w:tc>
          <w:tcPr>
            <w:tcW w:w="424" w:type="pct"/>
            <w:vAlign w:val="center"/>
          </w:tcPr>
          <w:p w14:paraId="38E43A31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12.e</w:t>
            </w:r>
            <w:proofErr w:type="gramEnd"/>
          </w:p>
        </w:tc>
        <w:tc>
          <w:tcPr>
            <w:tcW w:w="2435" w:type="pct"/>
            <w:vAlign w:val="center"/>
          </w:tcPr>
          <w:p w14:paraId="38E43A32" w14:textId="77777777" w:rsidR="00471E98" w:rsidRPr="00264813" w:rsidRDefault="00471E98" w:rsidP="00EA128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 xml:space="preserve">Undertake a concluding risk assessment by considering if the client’s </w:t>
            </w:r>
            <w:r w:rsidRPr="00264813">
              <w:rPr>
                <w:rFonts w:ascii="Arial" w:hAnsi="Arial" w:cs="Arial"/>
                <w:b/>
                <w:sz w:val="20"/>
                <w:szCs w:val="20"/>
              </w:rPr>
              <w:t xml:space="preserve">objectives </w:t>
            </w:r>
            <w:r w:rsidR="001067F3" w:rsidRPr="00264813">
              <w:rPr>
                <w:rFonts w:ascii="Arial" w:hAnsi="Arial" w:cs="Arial"/>
                <w:sz w:val="20"/>
                <w:szCs w:val="20"/>
              </w:rPr>
              <w:t>have been achieved</w:t>
            </w:r>
            <w:r w:rsidRPr="002648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4" w:type="pct"/>
            <w:vAlign w:val="center"/>
          </w:tcPr>
          <w:p w14:paraId="38E43A3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8E43A3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8E43A3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3C" w14:textId="77777777" w:rsidTr="009C2899">
        <w:trPr>
          <w:trHeight w:val="425"/>
        </w:trPr>
        <w:tc>
          <w:tcPr>
            <w:tcW w:w="424" w:type="pct"/>
            <w:vAlign w:val="center"/>
          </w:tcPr>
          <w:p w14:paraId="38E43A37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6.a</w:t>
            </w:r>
            <w:proofErr w:type="gramEnd"/>
          </w:p>
        </w:tc>
        <w:tc>
          <w:tcPr>
            <w:tcW w:w="2435" w:type="pct"/>
            <w:vAlign w:val="center"/>
          </w:tcPr>
          <w:p w14:paraId="38E43A38" w14:textId="77777777" w:rsidR="00471E98" w:rsidRPr="00264813" w:rsidRDefault="00405093" w:rsidP="0040509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471E98" w:rsidRPr="00264813">
              <w:rPr>
                <w:rFonts w:ascii="Arial" w:eastAsia="Times New Roman" w:hAnsi="Arial" w:cs="Arial"/>
                <w:sz w:val="20"/>
                <w:szCs w:val="20"/>
              </w:rPr>
              <w:t>eports to the client on the outcome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14" w:type="pct"/>
            <w:vAlign w:val="center"/>
          </w:tcPr>
          <w:p w14:paraId="38E43A3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8E43A3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8E43A3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42" w14:textId="77777777" w:rsidTr="009C2899">
        <w:trPr>
          <w:trHeight w:val="425"/>
        </w:trPr>
        <w:tc>
          <w:tcPr>
            <w:tcW w:w="424" w:type="pct"/>
            <w:vAlign w:val="center"/>
          </w:tcPr>
          <w:p w14:paraId="38E43A3D" w14:textId="77777777" w:rsidR="00471E98" w:rsidRPr="00E041CE" w:rsidRDefault="00471E98" w:rsidP="00EA1283">
            <w:pPr>
              <w:tabs>
                <w:tab w:val="left" w:pos="567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6.b</w:t>
            </w:r>
            <w:proofErr w:type="gramEnd"/>
          </w:p>
        </w:tc>
        <w:tc>
          <w:tcPr>
            <w:tcW w:w="2435" w:type="pct"/>
            <w:vAlign w:val="center"/>
          </w:tcPr>
          <w:p w14:paraId="38E43A3E" w14:textId="77777777" w:rsidR="00471E98" w:rsidRPr="00264813" w:rsidRDefault="00174403" w:rsidP="0017440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264813">
              <w:rPr>
                <w:rFonts w:ascii="Arial" w:hAnsi="Arial" w:cs="Arial"/>
                <w:sz w:val="20"/>
                <w:szCs w:val="20"/>
              </w:rPr>
              <w:t>Where appropriate</w:t>
            </w:r>
            <w:r w:rsidRPr="00264813">
              <w:rPr>
                <w:rFonts w:ascii="Arial" w:eastAsia="Times New Roman" w:hAnsi="Arial" w:cs="Arial"/>
                <w:sz w:val="20"/>
                <w:szCs w:val="20"/>
              </w:rPr>
              <w:t>, a</w:t>
            </w:r>
            <w:r w:rsidR="00471E98" w:rsidRPr="00264813">
              <w:rPr>
                <w:rFonts w:ascii="Arial" w:eastAsia="Times New Roman" w:hAnsi="Arial" w:cs="Arial"/>
                <w:sz w:val="20"/>
                <w:szCs w:val="20"/>
              </w:rPr>
              <w:t>ccounts to the client for any outstanding money.</w:t>
            </w:r>
          </w:p>
        </w:tc>
        <w:tc>
          <w:tcPr>
            <w:tcW w:w="714" w:type="pct"/>
            <w:vAlign w:val="center"/>
          </w:tcPr>
          <w:p w14:paraId="38E43A3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8E43A4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8E43A4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48" w14:textId="77777777" w:rsidTr="009C2899">
        <w:trPr>
          <w:trHeight w:val="425"/>
        </w:trPr>
        <w:tc>
          <w:tcPr>
            <w:tcW w:w="424" w:type="pct"/>
            <w:vAlign w:val="center"/>
          </w:tcPr>
          <w:p w14:paraId="38E43A43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7.6.c</w:t>
            </w:r>
          </w:p>
        </w:tc>
        <w:tc>
          <w:tcPr>
            <w:tcW w:w="2435" w:type="pct"/>
            <w:vAlign w:val="center"/>
          </w:tcPr>
          <w:p w14:paraId="38E43A44" w14:textId="77777777" w:rsidR="00471E98" w:rsidRPr="00264813" w:rsidRDefault="00405093" w:rsidP="0017440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Original documents or other property returned to client.</w:t>
            </w:r>
          </w:p>
        </w:tc>
        <w:tc>
          <w:tcPr>
            <w:tcW w:w="714" w:type="pct"/>
            <w:vAlign w:val="center"/>
          </w:tcPr>
          <w:p w14:paraId="38E43A4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8E43A4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8E43A4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4E" w14:textId="77777777" w:rsidTr="009C2899">
        <w:trPr>
          <w:trHeight w:val="425"/>
        </w:trPr>
        <w:tc>
          <w:tcPr>
            <w:tcW w:w="424" w:type="pct"/>
            <w:vAlign w:val="center"/>
          </w:tcPr>
          <w:p w14:paraId="38E43A49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6.d</w:t>
            </w:r>
            <w:proofErr w:type="gramEnd"/>
          </w:p>
        </w:tc>
        <w:tc>
          <w:tcPr>
            <w:tcW w:w="2435" w:type="pct"/>
            <w:vAlign w:val="center"/>
          </w:tcPr>
          <w:p w14:paraId="38E43A4A" w14:textId="77777777" w:rsidR="00471E98" w:rsidRPr="00264813" w:rsidRDefault="00405093" w:rsidP="00EA128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Client advised about storage and retrieval of papers.</w:t>
            </w:r>
          </w:p>
        </w:tc>
        <w:tc>
          <w:tcPr>
            <w:tcW w:w="714" w:type="pct"/>
            <w:vAlign w:val="center"/>
          </w:tcPr>
          <w:p w14:paraId="38E43A4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8E43A4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8E43A4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8E43A54" w14:textId="77777777" w:rsidTr="009C2899">
        <w:trPr>
          <w:trHeight w:val="425"/>
        </w:trPr>
        <w:tc>
          <w:tcPr>
            <w:tcW w:w="424" w:type="pct"/>
            <w:vAlign w:val="center"/>
          </w:tcPr>
          <w:p w14:paraId="38E43A4F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6.e</w:t>
            </w:r>
            <w:proofErr w:type="gramEnd"/>
          </w:p>
        </w:tc>
        <w:tc>
          <w:tcPr>
            <w:tcW w:w="2435" w:type="pct"/>
            <w:vAlign w:val="center"/>
          </w:tcPr>
          <w:p w14:paraId="38E43A50" w14:textId="77777777" w:rsidR="00471E98" w:rsidRPr="00264813" w:rsidRDefault="00405093" w:rsidP="00EA128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Client advised whether they should review the matter in the future.</w:t>
            </w:r>
          </w:p>
        </w:tc>
        <w:tc>
          <w:tcPr>
            <w:tcW w:w="714" w:type="pct"/>
            <w:vAlign w:val="center"/>
          </w:tcPr>
          <w:p w14:paraId="38E43A5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8E43A5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8E43A5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E43A55" w14:textId="77777777" w:rsidR="00595CDA" w:rsidRPr="00340ABC" w:rsidRDefault="00595CDA" w:rsidP="00952CE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sectPr w:rsidR="00595CDA" w:rsidRPr="00340ABC" w:rsidSect="004C0E95">
      <w:pgSz w:w="11906" w:h="16838" w:code="9"/>
      <w:pgMar w:top="1526" w:right="1077" w:bottom="1134" w:left="1077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2A330" w14:textId="77777777" w:rsidR="00A14A9D" w:rsidRDefault="00A14A9D" w:rsidP="00337E5D">
      <w:pPr>
        <w:spacing w:after="0" w:line="240" w:lineRule="auto"/>
      </w:pPr>
      <w:r>
        <w:separator/>
      </w:r>
    </w:p>
  </w:endnote>
  <w:endnote w:type="continuationSeparator" w:id="0">
    <w:p w14:paraId="49C2A781" w14:textId="77777777" w:rsidR="00A14A9D" w:rsidRDefault="00A14A9D" w:rsidP="0033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3A5F" w14:textId="77777777" w:rsidR="00BE1FF8" w:rsidRDefault="00B402D6">
    <w:pPr>
      <w:pStyle w:val="Footer"/>
    </w:pPr>
    <w:r>
      <w:rPr>
        <w:noProof/>
      </w:rPr>
      <w:pict w14:anchorId="38E43A6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6pt;margin-top:1.75pt;width:78.45pt;height:33.9pt;z-index:251658752;mso-width-relative:margin;mso-height-relative:margin" filled="f" stroked="f">
          <v:textbox style="mso-next-textbox:#_x0000_s2051">
            <w:txbxContent>
              <w:p w14:paraId="38E43A6F" w14:textId="77777777" w:rsidR="00BE1FF8" w:rsidRPr="007753F5" w:rsidRDefault="00BE1FF8" w:rsidP="00F71DDA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</w:rPr>
                </w:pPr>
                <w:r w:rsidRPr="007753F5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Page </w:t>
                </w:r>
                <w:r w:rsidR="0024703D" w:rsidRPr="007753F5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fldChar w:fldCharType="begin"/>
                </w:r>
                <w:r w:rsidRPr="007753F5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instrText xml:space="preserve"> PAGE </w:instrText>
                </w:r>
                <w:r w:rsidR="0024703D" w:rsidRPr="007753F5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fldChar w:fldCharType="separate"/>
                </w:r>
                <w:r w:rsidR="007753F5">
                  <w:rPr>
                    <w:rFonts w:ascii="Arial" w:hAnsi="Arial" w:cs="Arial"/>
                    <w:noProof/>
                    <w:color w:val="808080"/>
                    <w:sz w:val="16"/>
                    <w:szCs w:val="16"/>
                  </w:rPr>
                  <w:t>2</w:t>
                </w:r>
                <w:r w:rsidR="0024703D" w:rsidRPr="007753F5">
                  <w:rPr>
                    <w:rFonts w:ascii="Arial" w:hAnsi="Arial" w:cs="Arial"/>
                    <w:noProof/>
                    <w:color w:val="808080"/>
                    <w:sz w:val="16"/>
                    <w:szCs w:val="16"/>
                  </w:rPr>
                  <w:fldChar w:fldCharType="end"/>
                </w:r>
                <w:r w:rsidRPr="007753F5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of </w:t>
                </w:r>
                <w:r w:rsidR="0024703D" w:rsidRPr="007753F5">
                  <w:rPr>
                    <w:rStyle w:val="PageNumber"/>
                    <w:rFonts w:ascii="Arial" w:hAnsi="Arial" w:cs="Arial"/>
                    <w:color w:val="808080"/>
                    <w:sz w:val="16"/>
                    <w:szCs w:val="16"/>
                  </w:rPr>
                  <w:fldChar w:fldCharType="begin"/>
                </w:r>
                <w:r w:rsidRPr="007753F5">
                  <w:rPr>
                    <w:rStyle w:val="PageNumber"/>
                    <w:rFonts w:ascii="Arial" w:hAnsi="Arial" w:cs="Arial"/>
                    <w:color w:val="808080"/>
                    <w:sz w:val="16"/>
                    <w:szCs w:val="16"/>
                  </w:rPr>
                  <w:instrText xml:space="preserve"> NUMPAGES </w:instrText>
                </w:r>
                <w:r w:rsidR="0024703D" w:rsidRPr="007753F5">
                  <w:rPr>
                    <w:rStyle w:val="PageNumber"/>
                    <w:rFonts w:ascii="Arial" w:hAnsi="Arial" w:cs="Arial"/>
                    <w:color w:val="808080"/>
                    <w:sz w:val="16"/>
                    <w:szCs w:val="16"/>
                  </w:rPr>
                  <w:fldChar w:fldCharType="separate"/>
                </w:r>
                <w:r w:rsidR="007753F5">
                  <w:rPr>
                    <w:rStyle w:val="PageNumber"/>
                    <w:rFonts w:ascii="Arial" w:hAnsi="Arial" w:cs="Arial"/>
                    <w:noProof/>
                    <w:color w:val="808080"/>
                    <w:sz w:val="16"/>
                    <w:szCs w:val="16"/>
                  </w:rPr>
                  <w:t>4</w:t>
                </w:r>
                <w:r w:rsidR="0024703D" w:rsidRPr="007753F5">
                  <w:rPr>
                    <w:rStyle w:val="PageNumber"/>
                    <w:rFonts w:ascii="Arial" w:hAnsi="Arial" w:cs="Arial"/>
                    <w:color w:val="80808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8E43A67">
        <v:shape id="_x0000_s2050" type="#_x0000_t202" style="position:absolute;margin-left:-6pt;margin-top:1.75pt;width:227.25pt;height:16.95pt;z-index:251657728;mso-height-percent:200;mso-height-percent:200;mso-width-relative:margin;mso-height-relative:margin" filled="f" stroked="f">
          <v:textbox style="mso-next-textbox:#_x0000_s2050;mso-fit-shape-to-text:t">
            <w:txbxContent>
              <w:p w14:paraId="38E43A70" w14:textId="2CFA4FF4" w:rsidR="00BE1FF8" w:rsidRPr="007753F5" w:rsidRDefault="00BE1FF8" w:rsidP="00337E5D">
                <w:pPr>
                  <w:spacing w:after="0" w:line="240" w:lineRule="auto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7753F5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© The Law Society 201</w:t>
                </w:r>
                <w:r w:rsidR="008E670A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8</w:t>
                </w:r>
                <w:r w:rsidR="00EB0C9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  Version June 2018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3A61" w14:textId="77777777" w:rsidR="00BE1FF8" w:rsidRPr="004A7588" w:rsidRDefault="00BE1FF8" w:rsidP="00416E7C">
    <w:pPr>
      <w:spacing w:after="0" w:line="240" w:lineRule="auto"/>
      <w:rPr>
        <w:color w:val="808080"/>
        <w:sz w:val="16"/>
        <w:szCs w:val="16"/>
      </w:rPr>
    </w:pPr>
    <w:r w:rsidRPr="004A7588">
      <w:rPr>
        <w:color w:val="808080"/>
        <w:sz w:val="16"/>
        <w:szCs w:val="16"/>
      </w:rPr>
      <w:t>© The L</w:t>
    </w:r>
    <w:r>
      <w:rPr>
        <w:color w:val="808080"/>
        <w:sz w:val="16"/>
        <w:szCs w:val="16"/>
      </w:rPr>
      <w:t xml:space="preserve">aw Society 2014    Version: June 2014                                                                                                                                           </w:t>
    </w:r>
    <w:r w:rsidRPr="004A7588">
      <w:rPr>
        <w:color w:val="808080"/>
        <w:sz w:val="16"/>
        <w:szCs w:val="16"/>
      </w:rPr>
      <w:t xml:space="preserve">Page </w:t>
    </w:r>
    <w:r w:rsidR="0024703D" w:rsidRPr="004A7588">
      <w:rPr>
        <w:color w:val="808080"/>
        <w:sz w:val="16"/>
        <w:szCs w:val="16"/>
      </w:rPr>
      <w:fldChar w:fldCharType="begin"/>
    </w:r>
    <w:r w:rsidRPr="004A7588">
      <w:rPr>
        <w:color w:val="808080"/>
        <w:sz w:val="16"/>
        <w:szCs w:val="16"/>
      </w:rPr>
      <w:instrText xml:space="preserve"> PAGE </w:instrText>
    </w:r>
    <w:r w:rsidR="0024703D" w:rsidRPr="004A7588">
      <w:rPr>
        <w:color w:val="808080"/>
        <w:sz w:val="16"/>
        <w:szCs w:val="16"/>
      </w:rPr>
      <w:fldChar w:fldCharType="separate"/>
    </w:r>
    <w:r w:rsidR="007753F5">
      <w:rPr>
        <w:noProof/>
        <w:color w:val="808080"/>
        <w:sz w:val="16"/>
        <w:szCs w:val="16"/>
      </w:rPr>
      <w:t>1</w:t>
    </w:r>
    <w:r w:rsidR="0024703D" w:rsidRPr="004A7588">
      <w:rPr>
        <w:noProof/>
        <w:color w:val="808080"/>
        <w:sz w:val="16"/>
        <w:szCs w:val="16"/>
      </w:rPr>
      <w:fldChar w:fldCharType="end"/>
    </w:r>
    <w:r w:rsidRPr="004A7588">
      <w:rPr>
        <w:color w:val="808080"/>
        <w:sz w:val="16"/>
        <w:szCs w:val="16"/>
      </w:rPr>
      <w:t xml:space="preserve"> of </w:t>
    </w:r>
    <w:r w:rsidR="0024703D" w:rsidRPr="004A7588">
      <w:rPr>
        <w:rStyle w:val="PageNumber"/>
        <w:color w:val="808080"/>
        <w:sz w:val="16"/>
        <w:szCs w:val="16"/>
      </w:rPr>
      <w:fldChar w:fldCharType="begin"/>
    </w:r>
    <w:r w:rsidRPr="004A7588">
      <w:rPr>
        <w:rStyle w:val="PageNumber"/>
        <w:color w:val="808080"/>
        <w:sz w:val="16"/>
        <w:szCs w:val="16"/>
      </w:rPr>
      <w:instrText xml:space="preserve"> NUMPAGES </w:instrText>
    </w:r>
    <w:r w:rsidR="0024703D" w:rsidRPr="004A7588">
      <w:rPr>
        <w:rStyle w:val="PageNumber"/>
        <w:color w:val="808080"/>
        <w:sz w:val="16"/>
        <w:szCs w:val="16"/>
      </w:rPr>
      <w:fldChar w:fldCharType="separate"/>
    </w:r>
    <w:r w:rsidR="007753F5">
      <w:rPr>
        <w:rStyle w:val="PageNumber"/>
        <w:noProof/>
        <w:color w:val="808080"/>
        <w:sz w:val="16"/>
        <w:szCs w:val="16"/>
      </w:rPr>
      <w:t>4</w:t>
    </w:r>
    <w:r w:rsidR="0024703D" w:rsidRPr="004A7588">
      <w:rPr>
        <w:rStyle w:val="PageNumber"/>
        <w:color w:val="808080"/>
        <w:sz w:val="16"/>
        <w:szCs w:val="16"/>
      </w:rPr>
      <w:fldChar w:fldCharType="end"/>
    </w:r>
  </w:p>
  <w:p w14:paraId="38E43A62" w14:textId="77777777" w:rsidR="00BE1FF8" w:rsidRDefault="00BE1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CCB61" w14:textId="77777777" w:rsidR="00A14A9D" w:rsidRDefault="00A14A9D" w:rsidP="00337E5D">
      <w:pPr>
        <w:spacing w:after="0" w:line="240" w:lineRule="auto"/>
      </w:pPr>
      <w:r>
        <w:separator/>
      </w:r>
    </w:p>
  </w:footnote>
  <w:footnote w:type="continuationSeparator" w:id="0">
    <w:p w14:paraId="75A0C12E" w14:textId="77777777" w:rsidR="00A14A9D" w:rsidRDefault="00A14A9D" w:rsidP="0033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3A5E" w14:textId="77777777" w:rsidR="00BE1FF8" w:rsidRDefault="00C07EA2">
    <w:pPr>
      <w:pStyle w:val="Header"/>
    </w:pPr>
    <w:r w:rsidRPr="00C07EA2">
      <w:rPr>
        <w:noProof/>
      </w:rPr>
      <w:drawing>
        <wp:inline distT="0" distB="0" distL="0" distR="0" wp14:anchorId="38E43A63" wp14:editId="38E43A64">
          <wp:extent cx="1360805" cy="414655"/>
          <wp:effectExtent l="19050" t="0" r="0" b="0"/>
          <wp:docPr id="1" name="Picture 1" descr="L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c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2D6">
      <w:rPr>
        <w:noProof/>
      </w:rPr>
      <w:pict w14:anchorId="38E43A6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80.75pt;margin-top:8.05pt;width:314.1pt;height:30.7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WI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sn5cpmCjYprN8lkX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" stroked="f">
          <v:textbox style="mso-next-textbox:#Text Box 3">
            <w:txbxContent>
              <w:p w14:paraId="38E43A6D" w14:textId="5F31491A" w:rsidR="00BE1FF8" w:rsidRPr="007753F5" w:rsidRDefault="00BE1FF8" w:rsidP="00337E5D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7753F5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Lexcel England and Wales v6</w:t>
                </w:r>
                <w:r w:rsidR="004909AE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.1</w:t>
                </w:r>
              </w:p>
              <w:p w14:paraId="38E43A6E" w14:textId="77777777" w:rsidR="00BE1FF8" w:rsidRPr="007753F5" w:rsidRDefault="00BE1FF8" w:rsidP="00733E0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7753F5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Case management checklist for in-house legal departments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3A60" w14:textId="77777777" w:rsidR="00BE1FF8" w:rsidRDefault="00BE1FF8" w:rsidP="00416E7C">
    <w:pPr>
      <w:pStyle w:val="Header"/>
    </w:pPr>
    <w:r>
      <w:rPr>
        <w:noProof/>
      </w:rPr>
      <w:drawing>
        <wp:inline distT="0" distB="0" distL="0" distR="0" wp14:anchorId="38E43A68" wp14:editId="38E43A69">
          <wp:extent cx="1360805" cy="414655"/>
          <wp:effectExtent l="19050" t="0" r="0" b="0"/>
          <wp:docPr id="2" name="Picture 2" descr="L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xc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E258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97478"/>
    <w:multiLevelType w:val="hybridMultilevel"/>
    <w:tmpl w:val="CB0E5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F7F73"/>
    <w:multiLevelType w:val="hybridMultilevel"/>
    <w:tmpl w:val="78FAA4BC"/>
    <w:lvl w:ilvl="0" w:tplc="080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3" w15:restartNumberingAfterBreak="0">
    <w:nsid w:val="2E373EDD"/>
    <w:multiLevelType w:val="hybridMultilevel"/>
    <w:tmpl w:val="6248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9BC"/>
    <w:multiLevelType w:val="hybridMultilevel"/>
    <w:tmpl w:val="A0CA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7A6"/>
    <w:multiLevelType w:val="hybridMultilevel"/>
    <w:tmpl w:val="30C2F798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6E4586D"/>
    <w:multiLevelType w:val="hybridMultilevel"/>
    <w:tmpl w:val="15C22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74B6B"/>
    <w:multiLevelType w:val="hybridMultilevel"/>
    <w:tmpl w:val="359E6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248EF"/>
    <w:multiLevelType w:val="hybridMultilevel"/>
    <w:tmpl w:val="53B6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253CD"/>
    <w:multiLevelType w:val="hybridMultilevel"/>
    <w:tmpl w:val="507611F4"/>
    <w:lvl w:ilvl="0" w:tplc="080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10" w15:restartNumberingAfterBreak="0">
    <w:nsid w:val="66EC35E6"/>
    <w:multiLevelType w:val="hybridMultilevel"/>
    <w:tmpl w:val="D9868960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89569BD"/>
    <w:multiLevelType w:val="hybridMultilevel"/>
    <w:tmpl w:val="C0AC3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EE87971"/>
    <w:multiLevelType w:val="hybridMultilevel"/>
    <w:tmpl w:val="8482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C72ED"/>
    <w:multiLevelType w:val="hybridMultilevel"/>
    <w:tmpl w:val="90126568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8AB0AC1"/>
    <w:multiLevelType w:val="hybridMultilevel"/>
    <w:tmpl w:val="8FA8A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B800BB"/>
    <w:multiLevelType w:val="hybridMultilevel"/>
    <w:tmpl w:val="8B7C7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5D"/>
    <w:rsid w:val="00003916"/>
    <w:rsid w:val="00004E8B"/>
    <w:rsid w:val="00011E6C"/>
    <w:rsid w:val="00016066"/>
    <w:rsid w:val="000176EC"/>
    <w:rsid w:val="00020A88"/>
    <w:rsid w:val="000252A6"/>
    <w:rsid w:val="00030176"/>
    <w:rsid w:val="00030C40"/>
    <w:rsid w:val="00034174"/>
    <w:rsid w:val="00035871"/>
    <w:rsid w:val="00035B43"/>
    <w:rsid w:val="000426EF"/>
    <w:rsid w:val="00043779"/>
    <w:rsid w:val="000479B1"/>
    <w:rsid w:val="0005070C"/>
    <w:rsid w:val="0005102D"/>
    <w:rsid w:val="000528C9"/>
    <w:rsid w:val="00052D2C"/>
    <w:rsid w:val="000531C9"/>
    <w:rsid w:val="0005786A"/>
    <w:rsid w:val="00060B4B"/>
    <w:rsid w:val="000730DA"/>
    <w:rsid w:val="00076058"/>
    <w:rsid w:val="000768C1"/>
    <w:rsid w:val="00077495"/>
    <w:rsid w:val="00080C8F"/>
    <w:rsid w:val="000901E0"/>
    <w:rsid w:val="00092776"/>
    <w:rsid w:val="00095461"/>
    <w:rsid w:val="00096262"/>
    <w:rsid w:val="000962B1"/>
    <w:rsid w:val="00097E4E"/>
    <w:rsid w:val="000A3519"/>
    <w:rsid w:val="000B0538"/>
    <w:rsid w:val="000B3577"/>
    <w:rsid w:val="000B7F32"/>
    <w:rsid w:val="000C2E5B"/>
    <w:rsid w:val="000C3850"/>
    <w:rsid w:val="000C5350"/>
    <w:rsid w:val="000D04DC"/>
    <w:rsid w:val="000D2569"/>
    <w:rsid w:val="000E3A87"/>
    <w:rsid w:val="000F2899"/>
    <w:rsid w:val="00105074"/>
    <w:rsid w:val="00106641"/>
    <w:rsid w:val="001067F3"/>
    <w:rsid w:val="00106C90"/>
    <w:rsid w:val="00115D3C"/>
    <w:rsid w:val="00121385"/>
    <w:rsid w:val="0012414C"/>
    <w:rsid w:val="001270C1"/>
    <w:rsid w:val="001342C4"/>
    <w:rsid w:val="00136935"/>
    <w:rsid w:val="001422A3"/>
    <w:rsid w:val="00144222"/>
    <w:rsid w:val="00144AE3"/>
    <w:rsid w:val="00144DD6"/>
    <w:rsid w:val="00145B51"/>
    <w:rsid w:val="00145D8E"/>
    <w:rsid w:val="0014767C"/>
    <w:rsid w:val="00162EF9"/>
    <w:rsid w:val="0016703C"/>
    <w:rsid w:val="00174403"/>
    <w:rsid w:val="00184037"/>
    <w:rsid w:val="00190808"/>
    <w:rsid w:val="00190D2F"/>
    <w:rsid w:val="00196698"/>
    <w:rsid w:val="001A05DB"/>
    <w:rsid w:val="001A581E"/>
    <w:rsid w:val="001A6130"/>
    <w:rsid w:val="001B23B0"/>
    <w:rsid w:val="001B267F"/>
    <w:rsid w:val="001B3188"/>
    <w:rsid w:val="001B4EDE"/>
    <w:rsid w:val="001B59B7"/>
    <w:rsid w:val="001B5CBC"/>
    <w:rsid w:val="001B63BE"/>
    <w:rsid w:val="001C1758"/>
    <w:rsid w:val="001C4FDB"/>
    <w:rsid w:val="001D1581"/>
    <w:rsid w:val="001D2C86"/>
    <w:rsid w:val="001E1245"/>
    <w:rsid w:val="001E2B23"/>
    <w:rsid w:val="001E663E"/>
    <w:rsid w:val="001F48A9"/>
    <w:rsid w:val="0020502E"/>
    <w:rsid w:val="002055CA"/>
    <w:rsid w:val="0021275A"/>
    <w:rsid w:val="00220864"/>
    <w:rsid w:val="00220CC7"/>
    <w:rsid w:val="002248C7"/>
    <w:rsid w:val="00232978"/>
    <w:rsid w:val="002365D4"/>
    <w:rsid w:val="00237166"/>
    <w:rsid w:val="00237256"/>
    <w:rsid w:val="00237854"/>
    <w:rsid w:val="00240505"/>
    <w:rsid w:val="00242E16"/>
    <w:rsid w:val="00243489"/>
    <w:rsid w:val="002441A1"/>
    <w:rsid w:val="0024703D"/>
    <w:rsid w:val="002472AC"/>
    <w:rsid w:val="00256363"/>
    <w:rsid w:val="00260584"/>
    <w:rsid w:val="0026440D"/>
    <w:rsid w:val="00264813"/>
    <w:rsid w:val="00267A9F"/>
    <w:rsid w:val="00274D68"/>
    <w:rsid w:val="00277406"/>
    <w:rsid w:val="00280370"/>
    <w:rsid w:val="002817C2"/>
    <w:rsid w:val="00287C3F"/>
    <w:rsid w:val="00287DA1"/>
    <w:rsid w:val="00290910"/>
    <w:rsid w:val="002909E4"/>
    <w:rsid w:val="00290E98"/>
    <w:rsid w:val="002A0247"/>
    <w:rsid w:val="002A2169"/>
    <w:rsid w:val="002A5003"/>
    <w:rsid w:val="002A60D2"/>
    <w:rsid w:val="002B4767"/>
    <w:rsid w:val="002B4D84"/>
    <w:rsid w:val="002C2BD1"/>
    <w:rsid w:val="002C4022"/>
    <w:rsid w:val="002C4243"/>
    <w:rsid w:val="002C5ED2"/>
    <w:rsid w:val="002D20C0"/>
    <w:rsid w:val="002D5F45"/>
    <w:rsid w:val="002E448A"/>
    <w:rsid w:val="002E4839"/>
    <w:rsid w:val="002F06D4"/>
    <w:rsid w:val="002F3253"/>
    <w:rsid w:val="00305D10"/>
    <w:rsid w:val="00306FD5"/>
    <w:rsid w:val="003206AB"/>
    <w:rsid w:val="0032342F"/>
    <w:rsid w:val="0033501B"/>
    <w:rsid w:val="003367C1"/>
    <w:rsid w:val="0033781B"/>
    <w:rsid w:val="00337E5D"/>
    <w:rsid w:val="00340ABC"/>
    <w:rsid w:val="00340E33"/>
    <w:rsid w:val="003504E1"/>
    <w:rsid w:val="003510F2"/>
    <w:rsid w:val="0035448B"/>
    <w:rsid w:val="00354CAF"/>
    <w:rsid w:val="003608C5"/>
    <w:rsid w:val="003661CF"/>
    <w:rsid w:val="00381921"/>
    <w:rsid w:val="00381D23"/>
    <w:rsid w:val="0038385D"/>
    <w:rsid w:val="003842BC"/>
    <w:rsid w:val="0039524E"/>
    <w:rsid w:val="00395793"/>
    <w:rsid w:val="003A424B"/>
    <w:rsid w:val="003B3310"/>
    <w:rsid w:val="003B3FFB"/>
    <w:rsid w:val="003B4480"/>
    <w:rsid w:val="003C0C43"/>
    <w:rsid w:val="003C3B1B"/>
    <w:rsid w:val="003D2E2C"/>
    <w:rsid w:val="003D2EBD"/>
    <w:rsid w:val="003D5869"/>
    <w:rsid w:val="003E67D4"/>
    <w:rsid w:val="00400A8B"/>
    <w:rsid w:val="00405093"/>
    <w:rsid w:val="00416E7C"/>
    <w:rsid w:val="00420297"/>
    <w:rsid w:val="00420C74"/>
    <w:rsid w:val="00440C59"/>
    <w:rsid w:val="0044257C"/>
    <w:rsid w:val="00443C87"/>
    <w:rsid w:val="004462F1"/>
    <w:rsid w:val="0044677E"/>
    <w:rsid w:val="00455A4A"/>
    <w:rsid w:val="00456B5C"/>
    <w:rsid w:val="00460AF5"/>
    <w:rsid w:val="00460F00"/>
    <w:rsid w:val="00464CEA"/>
    <w:rsid w:val="00466506"/>
    <w:rsid w:val="00471E98"/>
    <w:rsid w:val="00474FEF"/>
    <w:rsid w:val="004819CB"/>
    <w:rsid w:val="00481AC1"/>
    <w:rsid w:val="00482EF1"/>
    <w:rsid w:val="00484CF0"/>
    <w:rsid w:val="00485C2E"/>
    <w:rsid w:val="004906A0"/>
    <w:rsid w:val="004909AE"/>
    <w:rsid w:val="004A02CB"/>
    <w:rsid w:val="004A1083"/>
    <w:rsid w:val="004A2FF2"/>
    <w:rsid w:val="004A7588"/>
    <w:rsid w:val="004B0B42"/>
    <w:rsid w:val="004C0E95"/>
    <w:rsid w:val="004C44E3"/>
    <w:rsid w:val="004D3A61"/>
    <w:rsid w:val="004D4D59"/>
    <w:rsid w:val="004E50E0"/>
    <w:rsid w:val="004F066A"/>
    <w:rsid w:val="004F4420"/>
    <w:rsid w:val="004F77D9"/>
    <w:rsid w:val="005052EA"/>
    <w:rsid w:val="00505C7D"/>
    <w:rsid w:val="00506AB6"/>
    <w:rsid w:val="0051288D"/>
    <w:rsid w:val="00514328"/>
    <w:rsid w:val="00516B33"/>
    <w:rsid w:val="00523733"/>
    <w:rsid w:val="00531E76"/>
    <w:rsid w:val="00543C0E"/>
    <w:rsid w:val="005448B3"/>
    <w:rsid w:val="00546ABA"/>
    <w:rsid w:val="00571D76"/>
    <w:rsid w:val="005751B1"/>
    <w:rsid w:val="005778D1"/>
    <w:rsid w:val="00577E0B"/>
    <w:rsid w:val="005857BA"/>
    <w:rsid w:val="00592AB4"/>
    <w:rsid w:val="0059456B"/>
    <w:rsid w:val="00595CDA"/>
    <w:rsid w:val="005A54ED"/>
    <w:rsid w:val="005B0105"/>
    <w:rsid w:val="005B1684"/>
    <w:rsid w:val="005B7712"/>
    <w:rsid w:val="005C1FE1"/>
    <w:rsid w:val="005C28F7"/>
    <w:rsid w:val="005C3F86"/>
    <w:rsid w:val="005C4A2E"/>
    <w:rsid w:val="005C668B"/>
    <w:rsid w:val="005C6724"/>
    <w:rsid w:val="005D3BF2"/>
    <w:rsid w:val="005D3FDE"/>
    <w:rsid w:val="005E09A8"/>
    <w:rsid w:val="005F7B05"/>
    <w:rsid w:val="00601BE3"/>
    <w:rsid w:val="006029FB"/>
    <w:rsid w:val="00612C7A"/>
    <w:rsid w:val="00624BD0"/>
    <w:rsid w:val="00630E2B"/>
    <w:rsid w:val="00635498"/>
    <w:rsid w:val="00635D2B"/>
    <w:rsid w:val="006363FD"/>
    <w:rsid w:val="00653164"/>
    <w:rsid w:val="006579E0"/>
    <w:rsid w:val="00660B68"/>
    <w:rsid w:val="00663087"/>
    <w:rsid w:val="00670EB8"/>
    <w:rsid w:val="00672092"/>
    <w:rsid w:val="00674109"/>
    <w:rsid w:val="00675F89"/>
    <w:rsid w:val="006776CC"/>
    <w:rsid w:val="00683A14"/>
    <w:rsid w:val="0068669F"/>
    <w:rsid w:val="006937B4"/>
    <w:rsid w:val="006A1021"/>
    <w:rsid w:val="006A32CD"/>
    <w:rsid w:val="006A4263"/>
    <w:rsid w:val="006B19AC"/>
    <w:rsid w:val="006B1D0C"/>
    <w:rsid w:val="006B7FE1"/>
    <w:rsid w:val="006C0408"/>
    <w:rsid w:val="006C3729"/>
    <w:rsid w:val="006C7978"/>
    <w:rsid w:val="006D01AC"/>
    <w:rsid w:val="006D46C3"/>
    <w:rsid w:val="006E184E"/>
    <w:rsid w:val="006E34B8"/>
    <w:rsid w:val="006F4AF5"/>
    <w:rsid w:val="00701D34"/>
    <w:rsid w:val="007030A3"/>
    <w:rsid w:val="007043C8"/>
    <w:rsid w:val="00705B1F"/>
    <w:rsid w:val="007067E1"/>
    <w:rsid w:val="007076CC"/>
    <w:rsid w:val="00707F1A"/>
    <w:rsid w:val="00711BA4"/>
    <w:rsid w:val="007120E2"/>
    <w:rsid w:val="00716344"/>
    <w:rsid w:val="00720533"/>
    <w:rsid w:val="007232F1"/>
    <w:rsid w:val="00725AE0"/>
    <w:rsid w:val="00726346"/>
    <w:rsid w:val="0073265E"/>
    <w:rsid w:val="00733E09"/>
    <w:rsid w:val="00743BD4"/>
    <w:rsid w:val="007462D2"/>
    <w:rsid w:val="007545F1"/>
    <w:rsid w:val="00754DA1"/>
    <w:rsid w:val="00761A81"/>
    <w:rsid w:val="00761A9D"/>
    <w:rsid w:val="007703B4"/>
    <w:rsid w:val="0077133E"/>
    <w:rsid w:val="007753F5"/>
    <w:rsid w:val="007761DD"/>
    <w:rsid w:val="007771C4"/>
    <w:rsid w:val="007878E4"/>
    <w:rsid w:val="007B09C1"/>
    <w:rsid w:val="007B35DE"/>
    <w:rsid w:val="007C02F6"/>
    <w:rsid w:val="007C156A"/>
    <w:rsid w:val="007C3F5F"/>
    <w:rsid w:val="007C6134"/>
    <w:rsid w:val="007C7F31"/>
    <w:rsid w:val="007D0C30"/>
    <w:rsid w:val="007D1721"/>
    <w:rsid w:val="007D3330"/>
    <w:rsid w:val="007D59BD"/>
    <w:rsid w:val="007D629A"/>
    <w:rsid w:val="007E0115"/>
    <w:rsid w:val="007E478A"/>
    <w:rsid w:val="007F3461"/>
    <w:rsid w:val="007F3F1D"/>
    <w:rsid w:val="00805272"/>
    <w:rsid w:val="00811CA3"/>
    <w:rsid w:val="00816D51"/>
    <w:rsid w:val="00817F9D"/>
    <w:rsid w:val="008200B2"/>
    <w:rsid w:val="00824C59"/>
    <w:rsid w:val="008336CB"/>
    <w:rsid w:val="00833C9B"/>
    <w:rsid w:val="00833F1F"/>
    <w:rsid w:val="0083473D"/>
    <w:rsid w:val="00834D10"/>
    <w:rsid w:val="008351F0"/>
    <w:rsid w:val="0084357D"/>
    <w:rsid w:val="0085167F"/>
    <w:rsid w:val="00854493"/>
    <w:rsid w:val="00854E26"/>
    <w:rsid w:val="008578A4"/>
    <w:rsid w:val="00862F09"/>
    <w:rsid w:val="00863F5D"/>
    <w:rsid w:val="00867C3E"/>
    <w:rsid w:val="00867CFB"/>
    <w:rsid w:val="008710CA"/>
    <w:rsid w:val="00877B3C"/>
    <w:rsid w:val="00877F55"/>
    <w:rsid w:val="00881189"/>
    <w:rsid w:val="00886035"/>
    <w:rsid w:val="00890BC9"/>
    <w:rsid w:val="008963DD"/>
    <w:rsid w:val="008A4975"/>
    <w:rsid w:val="008A70CA"/>
    <w:rsid w:val="008C1246"/>
    <w:rsid w:val="008C1D08"/>
    <w:rsid w:val="008C6953"/>
    <w:rsid w:val="008D26DD"/>
    <w:rsid w:val="008D7017"/>
    <w:rsid w:val="008E670A"/>
    <w:rsid w:val="008F285E"/>
    <w:rsid w:val="008F2DF2"/>
    <w:rsid w:val="008F55BC"/>
    <w:rsid w:val="008F63FB"/>
    <w:rsid w:val="008F6ECF"/>
    <w:rsid w:val="00904EF7"/>
    <w:rsid w:val="0091054A"/>
    <w:rsid w:val="00914D5F"/>
    <w:rsid w:val="00916DD1"/>
    <w:rsid w:val="00921E3B"/>
    <w:rsid w:val="00940AF8"/>
    <w:rsid w:val="0094362E"/>
    <w:rsid w:val="00946416"/>
    <w:rsid w:val="00951802"/>
    <w:rsid w:val="00952CEF"/>
    <w:rsid w:val="009564A4"/>
    <w:rsid w:val="00957B45"/>
    <w:rsid w:val="00964549"/>
    <w:rsid w:val="00966905"/>
    <w:rsid w:val="00967498"/>
    <w:rsid w:val="00974926"/>
    <w:rsid w:val="009768DF"/>
    <w:rsid w:val="00981D9E"/>
    <w:rsid w:val="009835C7"/>
    <w:rsid w:val="00983937"/>
    <w:rsid w:val="00984751"/>
    <w:rsid w:val="00992217"/>
    <w:rsid w:val="00992B3A"/>
    <w:rsid w:val="009A5646"/>
    <w:rsid w:val="009C04E9"/>
    <w:rsid w:val="009C109A"/>
    <w:rsid w:val="009C2899"/>
    <w:rsid w:val="009C3BAF"/>
    <w:rsid w:val="009C41F1"/>
    <w:rsid w:val="009D0420"/>
    <w:rsid w:val="009D154D"/>
    <w:rsid w:val="009D3426"/>
    <w:rsid w:val="009D34EC"/>
    <w:rsid w:val="009D3D07"/>
    <w:rsid w:val="009D4BD1"/>
    <w:rsid w:val="009E0B3C"/>
    <w:rsid w:val="009E31B7"/>
    <w:rsid w:val="009E444B"/>
    <w:rsid w:val="009E581C"/>
    <w:rsid w:val="009F0346"/>
    <w:rsid w:val="009F3DCA"/>
    <w:rsid w:val="00A009CC"/>
    <w:rsid w:val="00A0116B"/>
    <w:rsid w:val="00A036FA"/>
    <w:rsid w:val="00A03FC5"/>
    <w:rsid w:val="00A14A9D"/>
    <w:rsid w:val="00A15778"/>
    <w:rsid w:val="00A22076"/>
    <w:rsid w:val="00A333B5"/>
    <w:rsid w:val="00A34415"/>
    <w:rsid w:val="00A36F9D"/>
    <w:rsid w:val="00A41759"/>
    <w:rsid w:val="00A442EE"/>
    <w:rsid w:val="00A4557D"/>
    <w:rsid w:val="00A51C65"/>
    <w:rsid w:val="00A61907"/>
    <w:rsid w:val="00A636EF"/>
    <w:rsid w:val="00A64A7C"/>
    <w:rsid w:val="00A70EFF"/>
    <w:rsid w:val="00A713B9"/>
    <w:rsid w:val="00A7172A"/>
    <w:rsid w:val="00A71E1A"/>
    <w:rsid w:val="00A74F10"/>
    <w:rsid w:val="00A76130"/>
    <w:rsid w:val="00A76ABA"/>
    <w:rsid w:val="00A77B4C"/>
    <w:rsid w:val="00A810C1"/>
    <w:rsid w:val="00A8507A"/>
    <w:rsid w:val="00A86A07"/>
    <w:rsid w:val="00A961BD"/>
    <w:rsid w:val="00A972C4"/>
    <w:rsid w:val="00AB379A"/>
    <w:rsid w:val="00AB42D8"/>
    <w:rsid w:val="00AB6476"/>
    <w:rsid w:val="00AB6A2F"/>
    <w:rsid w:val="00AC0FDD"/>
    <w:rsid w:val="00AC16A3"/>
    <w:rsid w:val="00AC5A9E"/>
    <w:rsid w:val="00AD29F3"/>
    <w:rsid w:val="00AE4A81"/>
    <w:rsid w:val="00AE5530"/>
    <w:rsid w:val="00AE6848"/>
    <w:rsid w:val="00AF0D17"/>
    <w:rsid w:val="00AF0D6D"/>
    <w:rsid w:val="00AF3777"/>
    <w:rsid w:val="00B04007"/>
    <w:rsid w:val="00B202A5"/>
    <w:rsid w:val="00B23C0B"/>
    <w:rsid w:val="00B25B7D"/>
    <w:rsid w:val="00B36A60"/>
    <w:rsid w:val="00B36EE2"/>
    <w:rsid w:val="00B37224"/>
    <w:rsid w:val="00B37E52"/>
    <w:rsid w:val="00B37FC7"/>
    <w:rsid w:val="00B402D6"/>
    <w:rsid w:val="00B43839"/>
    <w:rsid w:val="00B45883"/>
    <w:rsid w:val="00B51517"/>
    <w:rsid w:val="00B51E6E"/>
    <w:rsid w:val="00B56CAA"/>
    <w:rsid w:val="00B6110F"/>
    <w:rsid w:val="00B65256"/>
    <w:rsid w:val="00B66F64"/>
    <w:rsid w:val="00B71344"/>
    <w:rsid w:val="00B96662"/>
    <w:rsid w:val="00B975B4"/>
    <w:rsid w:val="00BB15A0"/>
    <w:rsid w:val="00BB39EF"/>
    <w:rsid w:val="00BB69D0"/>
    <w:rsid w:val="00BB6E3D"/>
    <w:rsid w:val="00BD6657"/>
    <w:rsid w:val="00BD67B1"/>
    <w:rsid w:val="00BE1149"/>
    <w:rsid w:val="00BE1FF8"/>
    <w:rsid w:val="00BF7618"/>
    <w:rsid w:val="00C018DF"/>
    <w:rsid w:val="00C01A9A"/>
    <w:rsid w:val="00C07EA2"/>
    <w:rsid w:val="00C10362"/>
    <w:rsid w:val="00C10E9D"/>
    <w:rsid w:val="00C14DB1"/>
    <w:rsid w:val="00C16A06"/>
    <w:rsid w:val="00C20C62"/>
    <w:rsid w:val="00C275BC"/>
    <w:rsid w:val="00C304C4"/>
    <w:rsid w:val="00C31E49"/>
    <w:rsid w:val="00C40411"/>
    <w:rsid w:val="00C40BA5"/>
    <w:rsid w:val="00C40F84"/>
    <w:rsid w:val="00C445D2"/>
    <w:rsid w:val="00C450A6"/>
    <w:rsid w:val="00C625A9"/>
    <w:rsid w:val="00C62AB7"/>
    <w:rsid w:val="00C64821"/>
    <w:rsid w:val="00C70A26"/>
    <w:rsid w:val="00C72657"/>
    <w:rsid w:val="00C81C13"/>
    <w:rsid w:val="00C82127"/>
    <w:rsid w:val="00C86FAA"/>
    <w:rsid w:val="00C92ACD"/>
    <w:rsid w:val="00C9316A"/>
    <w:rsid w:val="00C936CA"/>
    <w:rsid w:val="00C9492C"/>
    <w:rsid w:val="00C96C7D"/>
    <w:rsid w:val="00C97757"/>
    <w:rsid w:val="00CA1EC0"/>
    <w:rsid w:val="00CB48FA"/>
    <w:rsid w:val="00CC5867"/>
    <w:rsid w:val="00CD045F"/>
    <w:rsid w:val="00CD3B0A"/>
    <w:rsid w:val="00CE10C0"/>
    <w:rsid w:val="00CE16DE"/>
    <w:rsid w:val="00CE275F"/>
    <w:rsid w:val="00CE2B1A"/>
    <w:rsid w:val="00CE4D74"/>
    <w:rsid w:val="00CF4985"/>
    <w:rsid w:val="00CF5C7B"/>
    <w:rsid w:val="00CF5D82"/>
    <w:rsid w:val="00D049F5"/>
    <w:rsid w:val="00D072C3"/>
    <w:rsid w:val="00D101A3"/>
    <w:rsid w:val="00D13A87"/>
    <w:rsid w:val="00D15F32"/>
    <w:rsid w:val="00D17C65"/>
    <w:rsid w:val="00D22C8F"/>
    <w:rsid w:val="00D238F9"/>
    <w:rsid w:val="00D244E8"/>
    <w:rsid w:val="00D25064"/>
    <w:rsid w:val="00D25A27"/>
    <w:rsid w:val="00D33219"/>
    <w:rsid w:val="00D371BB"/>
    <w:rsid w:val="00D37648"/>
    <w:rsid w:val="00D400E2"/>
    <w:rsid w:val="00D42F98"/>
    <w:rsid w:val="00D471B4"/>
    <w:rsid w:val="00D479B6"/>
    <w:rsid w:val="00D47A74"/>
    <w:rsid w:val="00D50382"/>
    <w:rsid w:val="00D507B9"/>
    <w:rsid w:val="00D53A8B"/>
    <w:rsid w:val="00D56DFC"/>
    <w:rsid w:val="00D605A3"/>
    <w:rsid w:val="00D702C9"/>
    <w:rsid w:val="00D80DE1"/>
    <w:rsid w:val="00D821C6"/>
    <w:rsid w:val="00D82976"/>
    <w:rsid w:val="00D83D49"/>
    <w:rsid w:val="00D908DC"/>
    <w:rsid w:val="00D90E90"/>
    <w:rsid w:val="00DA0C2B"/>
    <w:rsid w:val="00DA1575"/>
    <w:rsid w:val="00DA397B"/>
    <w:rsid w:val="00DA7A61"/>
    <w:rsid w:val="00DA7DDE"/>
    <w:rsid w:val="00DB0ACB"/>
    <w:rsid w:val="00DB0EDF"/>
    <w:rsid w:val="00DB0F3A"/>
    <w:rsid w:val="00DC1AA6"/>
    <w:rsid w:val="00DD17A3"/>
    <w:rsid w:val="00DF595E"/>
    <w:rsid w:val="00E051C6"/>
    <w:rsid w:val="00E05237"/>
    <w:rsid w:val="00E052EF"/>
    <w:rsid w:val="00E1108F"/>
    <w:rsid w:val="00E14748"/>
    <w:rsid w:val="00E21BEC"/>
    <w:rsid w:val="00E21EDF"/>
    <w:rsid w:val="00E21FE3"/>
    <w:rsid w:val="00E30190"/>
    <w:rsid w:val="00E31147"/>
    <w:rsid w:val="00E42557"/>
    <w:rsid w:val="00E450B2"/>
    <w:rsid w:val="00E5154F"/>
    <w:rsid w:val="00E54841"/>
    <w:rsid w:val="00E56F0A"/>
    <w:rsid w:val="00E600AB"/>
    <w:rsid w:val="00E61795"/>
    <w:rsid w:val="00E62D0C"/>
    <w:rsid w:val="00E63751"/>
    <w:rsid w:val="00E64F63"/>
    <w:rsid w:val="00E65EA5"/>
    <w:rsid w:val="00E665B1"/>
    <w:rsid w:val="00E7338B"/>
    <w:rsid w:val="00E74393"/>
    <w:rsid w:val="00E75085"/>
    <w:rsid w:val="00E77218"/>
    <w:rsid w:val="00E8103C"/>
    <w:rsid w:val="00E826C8"/>
    <w:rsid w:val="00E862F6"/>
    <w:rsid w:val="00E909E4"/>
    <w:rsid w:val="00E90DA6"/>
    <w:rsid w:val="00E95471"/>
    <w:rsid w:val="00E95E61"/>
    <w:rsid w:val="00EA1283"/>
    <w:rsid w:val="00EA4BA9"/>
    <w:rsid w:val="00EA7242"/>
    <w:rsid w:val="00EA7245"/>
    <w:rsid w:val="00EA746B"/>
    <w:rsid w:val="00EA7534"/>
    <w:rsid w:val="00EB0C9D"/>
    <w:rsid w:val="00EB5D7C"/>
    <w:rsid w:val="00EC0A09"/>
    <w:rsid w:val="00EC1DFE"/>
    <w:rsid w:val="00EC6455"/>
    <w:rsid w:val="00EC6925"/>
    <w:rsid w:val="00EC6A1D"/>
    <w:rsid w:val="00EC785B"/>
    <w:rsid w:val="00EE5C22"/>
    <w:rsid w:val="00EE629D"/>
    <w:rsid w:val="00EE7922"/>
    <w:rsid w:val="00EF29DD"/>
    <w:rsid w:val="00EF378B"/>
    <w:rsid w:val="00EF4F64"/>
    <w:rsid w:val="00EF71B9"/>
    <w:rsid w:val="00EF79FF"/>
    <w:rsid w:val="00F02AE4"/>
    <w:rsid w:val="00F11F9D"/>
    <w:rsid w:val="00F1778C"/>
    <w:rsid w:val="00F21A8B"/>
    <w:rsid w:val="00F31865"/>
    <w:rsid w:val="00F348B8"/>
    <w:rsid w:val="00F34C80"/>
    <w:rsid w:val="00F34FD5"/>
    <w:rsid w:val="00F42FE9"/>
    <w:rsid w:val="00F46817"/>
    <w:rsid w:val="00F5118A"/>
    <w:rsid w:val="00F5606B"/>
    <w:rsid w:val="00F57DD5"/>
    <w:rsid w:val="00F62649"/>
    <w:rsid w:val="00F66C5B"/>
    <w:rsid w:val="00F71DDA"/>
    <w:rsid w:val="00F7505F"/>
    <w:rsid w:val="00F83D43"/>
    <w:rsid w:val="00F863F7"/>
    <w:rsid w:val="00F87F9C"/>
    <w:rsid w:val="00F90218"/>
    <w:rsid w:val="00F90B73"/>
    <w:rsid w:val="00F9328C"/>
    <w:rsid w:val="00F94BF4"/>
    <w:rsid w:val="00F95CC5"/>
    <w:rsid w:val="00FA3424"/>
    <w:rsid w:val="00FA490B"/>
    <w:rsid w:val="00FA60B0"/>
    <w:rsid w:val="00FA7FF5"/>
    <w:rsid w:val="00FB31EA"/>
    <w:rsid w:val="00FC4BC4"/>
    <w:rsid w:val="00FC50B9"/>
    <w:rsid w:val="00FD05DA"/>
    <w:rsid w:val="00FD1E94"/>
    <w:rsid w:val="00FD56BC"/>
    <w:rsid w:val="00FE13D9"/>
    <w:rsid w:val="00FE1AAE"/>
    <w:rsid w:val="00FE26D2"/>
    <w:rsid w:val="00FE4D0E"/>
    <w:rsid w:val="00FE6C08"/>
    <w:rsid w:val="00FE778B"/>
    <w:rsid w:val="00FF10A8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8E43915"/>
  <w15:docId w15:val="{508DB0C7-E102-4282-B82E-967D76E7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8D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para"/>
    <w:link w:val="Heading1Char"/>
    <w:qFormat/>
    <w:rsid w:val="00BF7618"/>
    <w:pPr>
      <w:keepNext/>
      <w:tabs>
        <w:tab w:val="left" w:pos="8460"/>
      </w:tabs>
      <w:spacing w:before="240" w:after="120" w:line="240" w:lineRule="auto"/>
      <w:outlineLvl w:val="0"/>
    </w:pPr>
    <w:rPr>
      <w:rFonts w:ascii="Arial" w:eastAsia="Times New Roman" w:hAnsi="Arial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F7618"/>
    <w:pPr>
      <w:keepNext/>
      <w:spacing w:before="240" w:after="120" w:line="240" w:lineRule="auto"/>
      <w:outlineLvl w:val="1"/>
    </w:pPr>
    <w:rPr>
      <w:rFonts w:ascii="Arial" w:eastAsia="Times New Roman" w:hAnsi="Arial"/>
      <w:b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4E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BF7618"/>
    <w:pPr>
      <w:spacing w:before="120" w:after="240" w:line="240" w:lineRule="auto"/>
    </w:pPr>
    <w:rPr>
      <w:rFonts w:ascii="Arial" w:eastAsia="Times New Roman" w:hAnsi="Arial"/>
      <w:szCs w:val="20"/>
      <w:lang w:eastAsia="en-US"/>
    </w:rPr>
  </w:style>
  <w:style w:type="character" w:customStyle="1" w:styleId="paraChar">
    <w:name w:val="para Char"/>
    <w:link w:val="para"/>
    <w:rsid w:val="00BF7618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link w:val="Heading1"/>
    <w:rsid w:val="00BF7618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F7618"/>
    <w:rPr>
      <w:rFonts w:ascii="Arial" w:eastAsia="Times New Roman" w:hAnsi="Arial" w:cs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5D"/>
  </w:style>
  <w:style w:type="paragraph" w:styleId="Footer">
    <w:name w:val="footer"/>
    <w:basedOn w:val="Normal"/>
    <w:link w:val="FooterChar"/>
    <w:unhideWhenUsed/>
    <w:rsid w:val="0033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7E5D"/>
  </w:style>
  <w:style w:type="paragraph" w:styleId="BalloonText">
    <w:name w:val="Balloon Text"/>
    <w:basedOn w:val="Normal"/>
    <w:link w:val="BalloonTextChar"/>
    <w:uiPriority w:val="99"/>
    <w:semiHidden/>
    <w:unhideWhenUsed/>
    <w:rsid w:val="00337E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E5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7E5D"/>
  </w:style>
  <w:style w:type="table" w:styleId="TableGrid">
    <w:name w:val="Table Grid"/>
    <w:basedOn w:val="TableNormal"/>
    <w:rsid w:val="00BF7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F7618"/>
    <w:pPr>
      <w:spacing w:after="0" w:line="240" w:lineRule="auto"/>
      <w:ind w:left="720"/>
      <w:contextualSpacing/>
    </w:pPr>
    <w:rPr>
      <w:rFonts w:ascii="Arial" w:eastAsia="Times New Roman" w:hAnsi="Arial" w:cs="Arial"/>
      <w:lang w:eastAsia="en-US"/>
    </w:rPr>
  </w:style>
  <w:style w:type="character" w:styleId="Hyperlink">
    <w:name w:val="Hyperlink"/>
    <w:uiPriority w:val="99"/>
    <w:unhideWhenUsed/>
    <w:rsid w:val="00BF7618"/>
    <w:rPr>
      <w:color w:val="0000FF"/>
      <w:u w:val="single"/>
    </w:rPr>
  </w:style>
  <w:style w:type="character" w:customStyle="1" w:styleId="DocumentMapChar">
    <w:name w:val="Document Map Char"/>
    <w:link w:val="DocumentMap"/>
    <w:semiHidden/>
    <w:rsid w:val="00BF7618"/>
    <w:rPr>
      <w:rFonts w:ascii="Tahoma" w:eastAsia="Times New Roman" w:hAnsi="Tahoma" w:cs="Tahoma"/>
      <w:sz w:val="22"/>
      <w:szCs w:val="22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BF7618"/>
    <w:pPr>
      <w:shd w:val="clear" w:color="auto" w:fill="000080"/>
      <w:spacing w:after="0" w:line="240" w:lineRule="auto"/>
    </w:pPr>
    <w:rPr>
      <w:rFonts w:ascii="Tahoma" w:eastAsia="Times New Roman" w:hAnsi="Tahoma"/>
      <w:lang w:eastAsia="en-GB"/>
    </w:rPr>
  </w:style>
  <w:style w:type="paragraph" w:customStyle="1" w:styleId="bodycopy">
    <w:name w:val="bodycopy"/>
    <w:basedOn w:val="Normal"/>
    <w:qFormat/>
    <w:rsid w:val="00BF7618"/>
    <w:pPr>
      <w:tabs>
        <w:tab w:val="left" w:pos="5805"/>
      </w:tabs>
      <w:spacing w:after="0" w:line="240" w:lineRule="auto"/>
      <w:ind w:left="142"/>
    </w:pPr>
    <w:rPr>
      <w:rFonts w:ascii="Arial" w:eastAsia="Times New Roman" w:hAnsi="Arial" w:cs="Arial"/>
      <w:lang w:eastAsia="en-GB"/>
    </w:rPr>
  </w:style>
  <w:style w:type="paragraph" w:styleId="Title">
    <w:name w:val="Title"/>
    <w:basedOn w:val="Normal"/>
    <w:link w:val="TitleChar"/>
    <w:qFormat/>
    <w:rsid w:val="00BF7618"/>
    <w:pPr>
      <w:keepNext/>
      <w:spacing w:before="720" w:after="120" w:line="240" w:lineRule="auto"/>
    </w:pPr>
    <w:rPr>
      <w:rFonts w:ascii="Arial" w:eastAsia="Times New Roman" w:hAnsi="Arial"/>
      <w:b/>
      <w:sz w:val="36"/>
      <w:szCs w:val="36"/>
      <w:lang w:eastAsia="en-US"/>
    </w:rPr>
  </w:style>
  <w:style w:type="character" w:customStyle="1" w:styleId="TitleChar">
    <w:name w:val="Title Char"/>
    <w:link w:val="Title"/>
    <w:rsid w:val="00BF7618"/>
    <w:rPr>
      <w:rFonts w:ascii="Arial" w:eastAsia="Times New Roman" w:hAnsi="Arial" w:cs="Arial"/>
      <w:b/>
      <w:sz w:val="36"/>
      <w:szCs w:val="36"/>
      <w:lang w:eastAsia="en-US"/>
    </w:rPr>
  </w:style>
  <w:style w:type="paragraph" w:customStyle="1" w:styleId="Tabletext">
    <w:name w:val="Table text"/>
    <w:basedOn w:val="para"/>
    <w:rsid w:val="00BF7618"/>
    <w:pPr>
      <w:spacing w:before="360" w:after="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52D2C"/>
    <w:pPr>
      <w:tabs>
        <w:tab w:val="left" w:pos="426"/>
        <w:tab w:val="right" w:leader="dot" w:pos="9742"/>
      </w:tabs>
      <w:spacing w:after="60" w:line="240" w:lineRule="auto"/>
    </w:pPr>
    <w:rPr>
      <w:rFonts w:ascii="Arial" w:eastAsia="Times New Roman" w:hAnsi="Arial" w:cs="Arial"/>
      <w:b/>
      <w:noProof/>
      <w:snapToGrid w:val="0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7406"/>
    <w:pPr>
      <w:tabs>
        <w:tab w:val="right" w:leader="dot" w:pos="9742"/>
      </w:tabs>
      <w:spacing w:after="100" w:line="240" w:lineRule="auto"/>
      <w:ind w:left="284"/>
    </w:pPr>
    <w:rPr>
      <w:rFonts w:ascii="Arial" w:eastAsia="Times New Roman" w:hAnsi="Arial" w:cs="Arial"/>
      <w:lang w:eastAsia="en-GB"/>
    </w:rPr>
  </w:style>
  <w:style w:type="character" w:customStyle="1" w:styleId="CommentTextChar">
    <w:name w:val="Comment Text Char"/>
    <w:link w:val="CommentText"/>
    <w:uiPriority w:val="99"/>
    <w:rsid w:val="00BF7618"/>
    <w:rPr>
      <w:rFonts w:ascii="Arial" w:eastAsia="Times New Roman" w:hAnsi="Arial" w:cs="Arial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F7618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BF7618"/>
    <w:rPr>
      <w:rFonts w:ascii="Arial" w:eastAsia="Times New Roman" w:hAnsi="Arial" w:cs="Arial"/>
      <w:b/>
      <w:bCs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618"/>
    <w:rPr>
      <w:b/>
      <w:bCs/>
    </w:rPr>
  </w:style>
  <w:style w:type="character" w:styleId="PlaceholderText">
    <w:name w:val="Placeholder Text"/>
    <w:uiPriority w:val="67"/>
    <w:rsid w:val="00BF761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E1AAE"/>
    <w:pPr>
      <w:keepLines/>
      <w:tabs>
        <w:tab w:val="clear" w:pos="8460"/>
      </w:tabs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customStyle="1" w:styleId="Subtitle1">
    <w:name w:val="Subtitle1"/>
    <w:basedOn w:val="Normal"/>
    <w:autoRedefine/>
    <w:rsid w:val="007F3F1D"/>
    <w:pPr>
      <w:spacing w:before="120" w:after="120" w:line="240" w:lineRule="auto"/>
      <w:jc w:val="right"/>
    </w:pPr>
    <w:rPr>
      <w:rFonts w:ascii="Arial" w:eastAsia="Times New Roman" w:hAnsi="Arial" w:cs="Arial"/>
      <w:sz w:val="32"/>
      <w:lang w:eastAsia="en-GB"/>
    </w:rPr>
  </w:style>
  <w:style w:type="paragraph" w:customStyle="1" w:styleId="Default">
    <w:name w:val="Default"/>
    <w:rsid w:val="006C0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04EF7"/>
    <w:rPr>
      <w:rFonts w:ascii="Calibri" w:eastAsia="SimSu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66308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2DF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1EA"/>
    <w:pPr>
      <w:spacing w:before="120" w:after="120" w:line="240" w:lineRule="auto"/>
      <w:ind w:left="720"/>
      <w:contextualSpacing/>
    </w:pPr>
    <w:rPr>
      <w:rFonts w:ascii="Arial" w:eastAsia="Times New Roman" w:hAnsi="Arial" w:cs="Arial"/>
      <w:lang w:eastAsia="en-GB"/>
    </w:rPr>
  </w:style>
  <w:style w:type="paragraph" w:styleId="Revision">
    <w:name w:val="Revision"/>
    <w:hidden/>
    <w:uiPriority w:val="99"/>
    <w:semiHidden/>
    <w:rsid w:val="006B19AC"/>
    <w:rPr>
      <w:sz w:val="22"/>
      <w:szCs w:val="22"/>
    </w:rPr>
  </w:style>
  <w:style w:type="table" w:customStyle="1" w:styleId="TableGrid0">
    <w:name w:val="TableGrid"/>
    <w:rsid w:val="00AF3777"/>
    <w:rPr>
      <w:rFonts w:eastAsia="Times New Roman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05786A"/>
    <w:pPr>
      <w:numPr>
        <w:numId w:val="11"/>
      </w:numPr>
      <w:contextualSpacing/>
    </w:pPr>
  </w:style>
  <w:style w:type="paragraph" w:styleId="NoSpacing">
    <w:name w:val="No Spacing"/>
    <w:uiPriority w:val="1"/>
    <w:qFormat/>
    <w:rsid w:val="00340A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0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2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0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7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1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3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670AA-FF0B-4C47-B1F5-5C9F9F21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Links>
    <vt:vector size="168" baseType="variant">
      <vt:variant>
        <vt:i4>8323117</vt:i4>
      </vt:variant>
      <vt:variant>
        <vt:i4>162</vt:i4>
      </vt:variant>
      <vt:variant>
        <vt:i4>0</vt:i4>
      </vt:variant>
      <vt:variant>
        <vt:i4>5</vt:i4>
      </vt:variant>
      <vt:variant>
        <vt:lpwstr>http://www.lawsociety.org.uk/accreditation/lexcel/publications/</vt:lpwstr>
      </vt:variant>
      <vt:variant>
        <vt:lpwstr/>
      </vt:variant>
      <vt:variant>
        <vt:i4>8323117</vt:i4>
      </vt:variant>
      <vt:variant>
        <vt:i4>159</vt:i4>
      </vt:variant>
      <vt:variant>
        <vt:i4>0</vt:i4>
      </vt:variant>
      <vt:variant>
        <vt:i4>5</vt:i4>
      </vt:variant>
      <vt:variant>
        <vt:lpwstr>http://www.lawsociety.org.uk/accreditation/lexcel/publications</vt:lpwstr>
      </vt:variant>
      <vt:variant>
        <vt:lpwstr/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_Toc403991359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_Toc403991358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_Toc403991357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_Toc403991356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_Toc403991355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_Toc403991354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_Toc403991353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_Toc403991352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_Toc403991351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_Toc403991350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_Toc403991349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_Toc403991348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_Toc403991347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_Toc403991346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_Toc403991345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_Toc403991344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_Toc403991343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_Toc403991342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_Toc403991341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_Toc403991340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_Toc403991339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_Toc403991338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_Toc403991337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_Toc403991336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_Toc403991335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_Toc403991334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BH01TLS</dc:creator>
  <cp:keywords/>
  <cp:lastModifiedBy>Marian Moir</cp:lastModifiedBy>
  <cp:revision>2</cp:revision>
  <cp:lastPrinted>2015-03-26T15:16:00Z</cp:lastPrinted>
  <dcterms:created xsi:type="dcterms:W3CDTF">2019-01-24T11:36:00Z</dcterms:created>
  <dcterms:modified xsi:type="dcterms:W3CDTF">2019-01-24T11:36:00Z</dcterms:modified>
</cp:coreProperties>
</file>