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0A" w:rsidRDefault="0058590A" w:rsidP="000715BD">
      <w:pPr>
        <w:jc w:val="center"/>
      </w:pPr>
    </w:p>
    <w:p w:rsidR="0058590A" w:rsidRDefault="0058590A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8590A" w:rsidRDefault="0058590A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Your SQM audit will take place on a date agreed directly between you and your allocated Auditor, agreed in advance to ensure minimum disruption to your service provision</w:t>
      </w:r>
      <w:r w:rsidR="00903B71">
        <w:rPr>
          <w:rFonts w:cs="Calibri"/>
          <w:color w:val="000000"/>
          <w:sz w:val="24"/>
          <w:szCs w:val="24"/>
        </w:rPr>
        <w:t>.  When agreeing the audit date</w:t>
      </w:r>
      <w:r>
        <w:rPr>
          <w:rFonts w:cs="Calibri"/>
          <w:color w:val="000000"/>
          <w:sz w:val="24"/>
          <w:szCs w:val="24"/>
        </w:rPr>
        <w:t xml:space="preserve"> </w:t>
      </w:r>
      <w:r w:rsidR="00903B71">
        <w:rPr>
          <w:rFonts w:cs="Calibri"/>
          <w:color w:val="000000"/>
          <w:sz w:val="24"/>
          <w:szCs w:val="24"/>
        </w:rPr>
        <w:t xml:space="preserve">you should consider the availability of key personnel that the Auditor will need access </w:t>
      </w:r>
      <w:r w:rsidR="0009606F">
        <w:rPr>
          <w:rFonts w:cs="Calibri"/>
          <w:color w:val="000000"/>
          <w:sz w:val="24"/>
          <w:szCs w:val="24"/>
        </w:rPr>
        <w:t>to during the site visit</w:t>
      </w:r>
      <w:r w:rsidR="00903B71"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58590A" w:rsidRDefault="0058590A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03B71" w:rsidRPr="00903B71" w:rsidRDefault="00903B71" w:rsidP="0058590A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Request to change audit date:</w:t>
      </w:r>
    </w:p>
    <w:p w:rsidR="00903B71" w:rsidRDefault="00903B71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8590A" w:rsidRDefault="0058590A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 the unlikely event that you need to change the agreed audit date, in the first instance you should contact your Auditor to discuss</w:t>
      </w:r>
      <w:r w:rsidR="00903B71">
        <w:rPr>
          <w:rFonts w:cs="Calibri"/>
          <w:color w:val="000000"/>
          <w:sz w:val="24"/>
          <w:szCs w:val="24"/>
        </w:rPr>
        <w:t xml:space="preserve"> your requirements. It is essential when agreeing/changing your audit date you consider any resulting impact on your current certificate of accreditation or any deadline(s) imposed by any contract arrangement you may have/are intending to have with the Legal Aid Agency. </w:t>
      </w:r>
    </w:p>
    <w:p w:rsidR="00903B71" w:rsidRDefault="00903B71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03B71" w:rsidRDefault="00903B71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If your Auditor is unable to accommodate your request to change audit date, please contact Recognising Excellence on 01452 733 510 or via </w:t>
      </w:r>
      <w:hyperlink r:id="rId8" w:history="1">
        <w:r w:rsidRPr="00DE07AC">
          <w:rPr>
            <w:rStyle w:val="Hyperlink"/>
            <w:rFonts w:cs="Calibri"/>
            <w:sz w:val="24"/>
            <w:szCs w:val="24"/>
          </w:rPr>
          <w:t>sqm@recognisingexcellence.co.uk</w:t>
        </w:r>
      </w:hyperlink>
      <w:r>
        <w:rPr>
          <w:rFonts w:cs="Calibri"/>
          <w:color w:val="000000"/>
          <w:sz w:val="24"/>
          <w:szCs w:val="24"/>
        </w:rPr>
        <w:t xml:space="preserve"> who will discuss your requirements with you further.</w:t>
      </w:r>
    </w:p>
    <w:p w:rsidR="00903B71" w:rsidRDefault="00903B71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03B71" w:rsidRPr="00903B71" w:rsidRDefault="00903B71" w:rsidP="0058590A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903B71">
        <w:rPr>
          <w:rFonts w:cs="Calibri"/>
          <w:b/>
          <w:color w:val="000000"/>
          <w:sz w:val="24"/>
          <w:szCs w:val="24"/>
        </w:rPr>
        <w:t>Cancellation of your audit application</w:t>
      </w:r>
      <w:r>
        <w:rPr>
          <w:rFonts w:cs="Calibri"/>
          <w:b/>
          <w:color w:val="000000"/>
          <w:sz w:val="24"/>
          <w:szCs w:val="24"/>
        </w:rPr>
        <w:t>:</w:t>
      </w:r>
    </w:p>
    <w:p w:rsidR="00903B71" w:rsidRDefault="00903B71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03B71" w:rsidRDefault="00903B71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the event that a decision is made to withdraw your application for SQM accreditation you should notify Recognising Excellence in writing via </w:t>
      </w:r>
      <w:hyperlink r:id="rId9" w:history="1">
        <w:r w:rsidRPr="00DE07AC">
          <w:rPr>
            <w:rStyle w:val="Hyperlink"/>
            <w:rFonts w:cs="Calibri"/>
            <w:sz w:val="24"/>
            <w:szCs w:val="24"/>
          </w:rPr>
          <w:t>sqm@recognisingexcellence.co.uk</w:t>
        </w:r>
      </w:hyperlink>
      <w:r>
        <w:rPr>
          <w:rFonts w:cs="Calibri"/>
          <w:color w:val="000000"/>
          <w:sz w:val="24"/>
          <w:szCs w:val="24"/>
        </w:rPr>
        <w:t xml:space="preserve">  </w:t>
      </w:r>
      <w:proofErr w:type="gramStart"/>
      <w:r>
        <w:rPr>
          <w:rFonts w:cs="Calibri"/>
          <w:color w:val="000000"/>
          <w:sz w:val="24"/>
          <w:szCs w:val="24"/>
        </w:rPr>
        <w:t>Your</w:t>
      </w:r>
      <w:proofErr w:type="gramEnd"/>
      <w:r>
        <w:rPr>
          <w:rFonts w:cs="Calibri"/>
          <w:color w:val="000000"/>
          <w:sz w:val="24"/>
          <w:szCs w:val="24"/>
        </w:rPr>
        <w:t xml:space="preserve"> correspondence should confirm the audit arrangements and the reasons for the cancellation.</w:t>
      </w:r>
    </w:p>
    <w:p w:rsidR="00903B71" w:rsidRDefault="00903B71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03B71" w:rsidRDefault="00903B71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 cancellation fee may apply in the following circumstances:</w:t>
      </w:r>
    </w:p>
    <w:p w:rsidR="00903B71" w:rsidRDefault="00903B71" w:rsidP="0058590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9606F" w:rsidRPr="0009606F" w:rsidRDefault="0009606F" w:rsidP="000960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If the audit is cancelled at your request </w:t>
      </w:r>
      <w:r w:rsidR="0058590A" w:rsidRPr="0009606F">
        <w:rPr>
          <w:rFonts w:cs="Calibri"/>
          <w:color w:val="000000"/>
          <w:sz w:val="24"/>
          <w:szCs w:val="24"/>
        </w:rPr>
        <w:t xml:space="preserve">within </w:t>
      </w:r>
      <w:r>
        <w:rPr>
          <w:rFonts w:cs="Calibri"/>
          <w:color w:val="000000"/>
          <w:sz w:val="24"/>
          <w:szCs w:val="24"/>
        </w:rPr>
        <w:t>20</w:t>
      </w:r>
      <w:r w:rsidR="0058590A" w:rsidRPr="0009606F">
        <w:rPr>
          <w:rFonts w:cs="Calibri"/>
          <w:color w:val="000000"/>
          <w:sz w:val="24"/>
          <w:szCs w:val="24"/>
        </w:rPr>
        <w:t xml:space="preserve"> working day</w:t>
      </w:r>
      <w:r>
        <w:rPr>
          <w:rFonts w:cs="Calibri"/>
          <w:color w:val="000000"/>
          <w:sz w:val="24"/>
          <w:szCs w:val="24"/>
        </w:rPr>
        <w:t>s of the agreed on site date with your Auditor, a 60% cancellation fee will apply</w:t>
      </w:r>
      <w:r w:rsidR="0058590A" w:rsidRPr="0009606F">
        <w:rPr>
          <w:rFonts w:cs="Calibri"/>
          <w:color w:val="000000"/>
          <w:sz w:val="24"/>
          <w:szCs w:val="24"/>
        </w:rPr>
        <w:t>.</w:t>
      </w:r>
    </w:p>
    <w:p w:rsidR="0058590A" w:rsidRPr="0009606F" w:rsidRDefault="0058590A" w:rsidP="000960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9606F">
        <w:rPr>
          <w:rFonts w:cs="Calibri"/>
          <w:color w:val="000000"/>
          <w:sz w:val="24"/>
          <w:szCs w:val="24"/>
        </w:rPr>
        <w:t xml:space="preserve">If the audit is cancelled </w:t>
      </w:r>
      <w:r w:rsidR="0009606F">
        <w:rPr>
          <w:rFonts w:cs="Calibri"/>
          <w:color w:val="000000"/>
          <w:sz w:val="24"/>
          <w:szCs w:val="24"/>
        </w:rPr>
        <w:t xml:space="preserve">at your request </w:t>
      </w:r>
      <w:r w:rsidRPr="0009606F">
        <w:rPr>
          <w:rFonts w:cs="Calibri"/>
          <w:color w:val="000000"/>
          <w:sz w:val="24"/>
          <w:szCs w:val="24"/>
        </w:rPr>
        <w:t>within 10 working days or less, of the agreed on-site date, 100% of the audit fee will be charged.</w:t>
      </w:r>
    </w:p>
    <w:p w:rsidR="0058590A" w:rsidRDefault="0058590A" w:rsidP="0009606F">
      <w:pPr>
        <w:rPr>
          <w:rFonts w:cs="Calibri"/>
          <w:sz w:val="24"/>
          <w:szCs w:val="24"/>
        </w:rPr>
      </w:pPr>
    </w:p>
    <w:p w:rsidR="0009606F" w:rsidRPr="000715BD" w:rsidRDefault="0009606F" w:rsidP="0009606F"/>
    <w:sectPr w:rsidR="0009606F" w:rsidRPr="000715BD" w:rsidSect="00335979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6F" w:rsidRDefault="0009606F" w:rsidP="006B61CA">
      <w:pPr>
        <w:spacing w:after="0" w:line="240" w:lineRule="auto"/>
      </w:pPr>
      <w:r>
        <w:separator/>
      </w:r>
    </w:p>
  </w:endnote>
  <w:endnote w:type="continuationSeparator" w:id="0">
    <w:p w:rsidR="0009606F" w:rsidRDefault="0009606F" w:rsidP="006B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6F" w:rsidRDefault="00FE2B10">
    <w:pPr>
      <w:pStyle w:val="Footer"/>
    </w:pPr>
    <w:r>
      <w:t>March 2</w:t>
    </w:r>
    <w:r w:rsidR="0009606F"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6F" w:rsidRDefault="0009606F" w:rsidP="006B61CA">
      <w:pPr>
        <w:spacing w:after="0" w:line="240" w:lineRule="auto"/>
      </w:pPr>
      <w:r>
        <w:separator/>
      </w:r>
    </w:p>
  </w:footnote>
  <w:footnote w:type="continuationSeparator" w:id="0">
    <w:p w:rsidR="0009606F" w:rsidRDefault="0009606F" w:rsidP="006B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6F" w:rsidRDefault="0009606F">
    <w:pPr>
      <w:pStyle w:val="Header"/>
    </w:pPr>
    <w:r w:rsidRPr="000715BD">
      <w:rPr>
        <w:noProof/>
        <w:lang w:eastAsia="en-GB"/>
      </w:rPr>
      <w:drawing>
        <wp:inline distT="0" distB="0" distL="0" distR="0">
          <wp:extent cx="1200150" cy="694690"/>
          <wp:effectExtent l="0" t="0" r="0" b="0"/>
          <wp:docPr id="1" name="Picture 1" descr="\\blg.local\root\GELFolderRedirect\ajordan\Desktop\Recognising 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\\blg.local\root\GELFolderRedirect\ajordan\Desktop\Recognising Excell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249" cy="695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0715BD">
      <w:rPr>
        <w:noProof/>
        <w:lang w:eastAsia="en-GB"/>
      </w:rPr>
      <w:drawing>
        <wp:inline distT="0" distB="0" distL="0" distR="0">
          <wp:extent cx="1457325" cy="733425"/>
          <wp:effectExtent l="0" t="0" r="9525" b="952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606F" w:rsidRDefault="0009606F">
    <w:pPr>
      <w:pStyle w:val="Header"/>
    </w:pPr>
  </w:p>
  <w:p w:rsidR="0009606F" w:rsidRPr="00FE2B10" w:rsidRDefault="0009606F" w:rsidP="006B61CA">
    <w:pPr>
      <w:pStyle w:val="Header"/>
      <w:jc w:val="center"/>
      <w:rPr>
        <w:b/>
        <w:sz w:val="24"/>
        <w:szCs w:val="24"/>
      </w:rPr>
    </w:pPr>
    <w:r w:rsidRPr="00FE2B10">
      <w:rPr>
        <w:b/>
        <w:sz w:val="24"/>
        <w:szCs w:val="24"/>
      </w:rPr>
      <w:t>Specialist Quality Mark</w:t>
    </w:r>
  </w:p>
  <w:p w:rsidR="0009606F" w:rsidRPr="00FE2B10" w:rsidRDefault="0009606F" w:rsidP="006B61CA">
    <w:pPr>
      <w:pStyle w:val="Header"/>
      <w:jc w:val="center"/>
      <w:rPr>
        <w:sz w:val="24"/>
        <w:szCs w:val="24"/>
      </w:rPr>
    </w:pPr>
    <w:r w:rsidRPr="00FE2B10">
      <w:rPr>
        <w:b/>
        <w:sz w:val="24"/>
        <w:szCs w:val="24"/>
      </w:rPr>
      <w:t>Cancellation Policy</w:t>
    </w:r>
  </w:p>
  <w:p w:rsidR="0009606F" w:rsidRPr="00FE2B10" w:rsidRDefault="0009606F" w:rsidP="006B61CA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A00"/>
    <w:multiLevelType w:val="hybridMultilevel"/>
    <w:tmpl w:val="340C0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2094"/>
    <w:multiLevelType w:val="hybridMultilevel"/>
    <w:tmpl w:val="2EE0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489"/>
    <w:rsid w:val="000715BD"/>
    <w:rsid w:val="0009606F"/>
    <w:rsid w:val="000D07FA"/>
    <w:rsid w:val="002B2F63"/>
    <w:rsid w:val="002D76B8"/>
    <w:rsid w:val="00335979"/>
    <w:rsid w:val="004B2D09"/>
    <w:rsid w:val="0058590A"/>
    <w:rsid w:val="00630E25"/>
    <w:rsid w:val="00695D21"/>
    <w:rsid w:val="006B61CA"/>
    <w:rsid w:val="007F39F7"/>
    <w:rsid w:val="00807B63"/>
    <w:rsid w:val="00903B71"/>
    <w:rsid w:val="00A83671"/>
    <w:rsid w:val="00F06489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1CA"/>
  </w:style>
  <w:style w:type="paragraph" w:styleId="Footer">
    <w:name w:val="footer"/>
    <w:basedOn w:val="Normal"/>
    <w:link w:val="FooterChar"/>
    <w:uiPriority w:val="99"/>
    <w:semiHidden/>
    <w:unhideWhenUsed/>
    <w:rsid w:val="006B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1CA"/>
  </w:style>
  <w:style w:type="paragraph" w:styleId="ListParagraph">
    <w:name w:val="List Paragraph"/>
    <w:basedOn w:val="Normal"/>
    <w:uiPriority w:val="34"/>
    <w:qFormat/>
    <w:rsid w:val="004B2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m@recognisingexcellence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qm@recognisingexcellence.co.uk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ACB9C18E4E4596E05C8453BFC8C9" ma:contentTypeVersion="15" ma:contentTypeDescription="Create a new document." ma:contentTypeScope="" ma:versionID="3aff230ef260c3ca848af717d60c66ea">
  <xsd:schema xmlns:xsd="http://www.w3.org/2001/XMLSchema" xmlns:xs="http://www.w3.org/2001/XMLSchema" xmlns:p="http://schemas.microsoft.com/office/2006/metadata/properties" xmlns:ns2="f6b14013-6159-4d09-a6a6-8a18a7a1bb7a" xmlns:ns3="e31f043f-7b16-4b95-8fea-5bfc8e1738da" targetNamespace="http://schemas.microsoft.com/office/2006/metadata/properties" ma:root="true" ma:fieldsID="bc33ea9e84a39db90666903409bebc1a" ns2:_="" ns3:_="">
    <xsd:import namespace="f6b14013-6159-4d09-a6a6-8a18a7a1bb7a"/>
    <xsd:import namespace="e31f043f-7b16-4b95-8fea-5bfc8e1738d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4013-6159-4d09-a6a6-8a18a7a1bb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f043f-7b16-4b95-8fea-5bfc8e1738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6b14013-6159-4d09-a6a6-8a18a7a1bb7a" xsi:nil="true"/>
    <MigrationWizIdPermissions xmlns="f6b14013-6159-4d09-a6a6-8a18a7a1bb7a" xsi:nil="true"/>
    <MigrationWizIdDocumentLibraryPermissions xmlns="f6b14013-6159-4d09-a6a6-8a18a7a1bb7a" xsi:nil="true"/>
    <MigrationWizIdPermissionLevels xmlns="f6b14013-6159-4d09-a6a6-8a18a7a1bb7a" xsi:nil="true"/>
    <MigrationWizId xmlns="f6b14013-6159-4d09-a6a6-8a18a7a1bb7a">00832b5b-8518-463a-bec5-0428d1239527</MigrationWizId>
  </documentManagement>
</p:properties>
</file>

<file path=customXml/itemProps1.xml><?xml version="1.0" encoding="utf-8"?>
<ds:datastoreItem xmlns:ds="http://schemas.openxmlformats.org/officeDocument/2006/customXml" ds:itemID="{CA957558-8AF4-48F4-9CB5-59E8D7272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BCB26-EEAE-4B6A-B291-59D9FD03095D}"/>
</file>

<file path=customXml/itemProps3.xml><?xml version="1.0" encoding="utf-8"?>
<ds:datastoreItem xmlns:ds="http://schemas.openxmlformats.org/officeDocument/2006/customXml" ds:itemID="{7241B57B-F70F-4667-979F-17543AE884A9}"/>
</file>

<file path=customXml/itemProps4.xml><?xml version="1.0" encoding="utf-8"?>
<ds:datastoreItem xmlns:ds="http://schemas.openxmlformats.org/officeDocument/2006/customXml" ds:itemID="{DEE3A27B-3178-437B-9A0E-CE7D3565D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GEL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Milsom</dc:creator>
  <cp:lastModifiedBy>Administrator</cp:lastModifiedBy>
  <cp:revision>2</cp:revision>
  <cp:lastPrinted>2017-03-03T04:14:00Z</cp:lastPrinted>
  <dcterms:created xsi:type="dcterms:W3CDTF">2017-04-22T13:14:00Z</dcterms:created>
  <dcterms:modified xsi:type="dcterms:W3CDTF">2017-04-22T13:14:00Z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0x01010038FEACB9C18E4E4596E05C8453BFC8C9</vt:lpwstr>
  </property>
</Properties>
</file>