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47ED" w14:textId="64828168" w:rsidR="004A3547" w:rsidRDefault="004A3547" w:rsidP="005D5E48">
      <w:pPr>
        <w:autoSpaceDE w:val="0"/>
        <w:autoSpaceDN w:val="0"/>
        <w:adjustRightInd w:val="0"/>
        <w:spacing w:after="100" w:line="201" w:lineRule="atLeast"/>
        <w:jc w:val="center"/>
        <w:rPr>
          <w:rFonts w:cs="Museo Sans 300"/>
          <w:b/>
          <w:color w:val="000000"/>
          <w:sz w:val="24"/>
          <w:szCs w:val="24"/>
        </w:rPr>
      </w:pPr>
      <w:r w:rsidRPr="004A3547">
        <w:rPr>
          <w:rFonts w:cs="Museo Sans 300"/>
          <w:b/>
          <w:color w:val="000000"/>
          <w:sz w:val="24"/>
          <w:szCs w:val="24"/>
        </w:rPr>
        <w:t xml:space="preserve">Debt Advice Peer Assessment </w:t>
      </w:r>
      <w:r w:rsidR="005D5E48">
        <w:rPr>
          <w:rFonts w:cs="Museo Sans 300"/>
          <w:b/>
          <w:color w:val="000000"/>
          <w:sz w:val="24"/>
          <w:szCs w:val="24"/>
        </w:rPr>
        <w:t xml:space="preserve">(DAPA) </w:t>
      </w:r>
      <w:r w:rsidR="00354845">
        <w:rPr>
          <w:rFonts w:cs="Museo Sans 300"/>
          <w:b/>
          <w:color w:val="000000"/>
          <w:sz w:val="24"/>
          <w:szCs w:val="24"/>
        </w:rPr>
        <w:t>Scheme</w:t>
      </w:r>
      <w:r w:rsidR="00757CDD">
        <w:rPr>
          <w:rFonts w:cs="Museo Sans 300"/>
          <w:b/>
          <w:color w:val="000000"/>
          <w:sz w:val="24"/>
          <w:szCs w:val="24"/>
        </w:rPr>
        <w:t xml:space="preserve"> </w:t>
      </w:r>
    </w:p>
    <w:p w14:paraId="131C871F" w14:textId="54C39AE9" w:rsidR="00754415" w:rsidRDefault="00754415" w:rsidP="004A3547">
      <w:pPr>
        <w:autoSpaceDE w:val="0"/>
        <w:autoSpaceDN w:val="0"/>
        <w:adjustRightInd w:val="0"/>
        <w:spacing w:after="100" w:line="201" w:lineRule="atLeast"/>
        <w:jc w:val="center"/>
        <w:rPr>
          <w:rFonts w:cs="Museo Sans 300"/>
          <w:b/>
          <w:color w:val="000000"/>
          <w:sz w:val="24"/>
          <w:szCs w:val="24"/>
        </w:rPr>
      </w:pPr>
      <w:r>
        <w:rPr>
          <w:rFonts w:cs="Museo Sans 300"/>
          <w:b/>
          <w:color w:val="000000"/>
          <w:sz w:val="24"/>
          <w:szCs w:val="24"/>
        </w:rPr>
        <w:t xml:space="preserve">Representations </w:t>
      </w:r>
      <w:r w:rsidR="00F54EE9">
        <w:rPr>
          <w:rFonts w:cs="Museo Sans 300"/>
          <w:b/>
          <w:color w:val="000000"/>
          <w:sz w:val="24"/>
          <w:szCs w:val="24"/>
        </w:rPr>
        <w:t xml:space="preserve">and Appeals </w:t>
      </w:r>
      <w:r>
        <w:rPr>
          <w:rFonts w:cs="Museo Sans 300"/>
          <w:b/>
          <w:color w:val="000000"/>
          <w:sz w:val="24"/>
          <w:szCs w:val="24"/>
        </w:rPr>
        <w:t>Process</w:t>
      </w:r>
    </w:p>
    <w:p w14:paraId="6FD53D88" w14:textId="77777777" w:rsidR="003F69BB" w:rsidRDefault="003F69BB" w:rsidP="00754415">
      <w:pPr>
        <w:autoSpaceDE w:val="0"/>
        <w:autoSpaceDN w:val="0"/>
        <w:adjustRightInd w:val="0"/>
        <w:spacing w:after="100" w:line="201" w:lineRule="atLeast"/>
        <w:rPr>
          <w:rFonts w:cs="Museo Sans 300"/>
          <w:color w:val="000000"/>
          <w:sz w:val="24"/>
          <w:szCs w:val="24"/>
        </w:rPr>
      </w:pPr>
    </w:p>
    <w:p w14:paraId="5C28AB77" w14:textId="44C3368F" w:rsidR="0057523A" w:rsidRDefault="0057523A" w:rsidP="0057523A">
      <w:pPr>
        <w:autoSpaceDE w:val="0"/>
        <w:autoSpaceDN w:val="0"/>
        <w:adjustRightInd w:val="0"/>
        <w:spacing w:after="100" w:line="201" w:lineRule="atLeast"/>
        <w:rPr>
          <w:rFonts w:cs="Museo Sans 300"/>
          <w:color w:val="000000"/>
          <w:sz w:val="24"/>
          <w:szCs w:val="24"/>
        </w:rPr>
      </w:pPr>
      <w:r w:rsidRPr="003F69BB">
        <w:rPr>
          <w:rFonts w:cs="Museo Sans 300"/>
          <w:b/>
          <w:color w:val="000000"/>
          <w:sz w:val="24"/>
          <w:szCs w:val="24"/>
        </w:rPr>
        <w:t>Scope of Representations</w:t>
      </w:r>
      <w:r w:rsidR="00F54EE9">
        <w:rPr>
          <w:rFonts w:cs="Museo Sans 300"/>
          <w:b/>
          <w:color w:val="000000"/>
          <w:sz w:val="24"/>
          <w:szCs w:val="24"/>
        </w:rPr>
        <w:t xml:space="preserve"> and Appeals</w:t>
      </w:r>
      <w:r w:rsidRPr="003F69BB">
        <w:rPr>
          <w:rFonts w:cs="Museo Sans 300"/>
          <w:b/>
          <w:color w:val="000000"/>
          <w:sz w:val="24"/>
          <w:szCs w:val="24"/>
        </w:rPr>
        <w:t xml:space="preserve"> Process</w:t>
      </w:r>
    </w:p>
    <w:p w14:paraId="1F46DE68" w14:textId="529497EC" w:rsidR="0057523A" w:rsidRDefault="0057523A" w:rsidP="0057523A">
      <w:pPr>
        <w:autoSpaceDE w:val="0"/>
        <w:autoSpaceDN w:val="0"/>
        <w:adjustRightInd w:val="0"/>
        <w:spacing w:after="100" w:line="201" w:lineRule="atLeast"/>
        <w:rPr>
          <w:rFonts w:cs="Museo Sans 300"/>
          <w:color w:val="000000"/>
          <w:sz w:val="24"/>
          <w:szCs w:val="24"/>
        </w:rPr>
      </w:pPr>
      <w:r w:rsidRPr="000D6792">
        <w:rPr>
          <w:rFonts w:cs="Museo Sans 300"/>
          <w:color w:val="000000"/>
          <w:sz w:val="24"/>
          <w:szCs w:val="24"/>
        </w:rPr>
        <w:t>The Debt Advice Peer Assessment</w:t>
      </w:r>
      <w:r w:rsidR="003D6E1F">
        <w:rPr>
          <w:rFonts w:cs="Museo Sans 300"/>
          <w:color w:val="000000"/>
          <w:sz w:val="24"/>
          <w:szCs w:val="24"/>
        </w:rPr>
        <w:t xml:space="preserve"> (DAPA)</w:t>
      </w:r>
      <w:r w:rsidRPr="000D6792">
        <w:rPr>
          <w:rFonts w:cs="Museo Sans 300"/>
          <w:color w:val="000000"/>
          <w:sz w:val="24"/>
          <w:szCs w:val="24"/>
        </w:rPr>
        <w:t xml:space="preserve"> </w:t>
      </w:r>
      <w:r>
        <w:rPr>
          <w:rFonts w:cs="Museo Sans 300"/>
          <w:color w:val="000000"/>
          <w:sz w:val="24"/>
          <w:szCs w:val="24"/>
        </w:rPr>
        <w:t xml:space="preserve">Scheme </w:t>
      </w:r>
      <w:r w:rsidRPr="000D6792">
        <w:rPr>
          <w:rFonts w:cs="Museo Sans 300"/>
          <w:color w:val="000000"/>
          <w:sz w:val="24"/>
          <w:szCs w:val="24"/>
        </w:rPr>
        <w:t xml:space="preserve">provides an opportunity for organisations to make formal representation </w:t>
      </w:r>
      <w:r>
        <w:rPr>
          <w:rFonts w:cs="Museo Sans 300"/>
          <w:color w:val="000000"/>
          <w:sz w:val="24"/>
          <w:szCs w:val="24"/>
        </w:rPr>
        <w:t xml:space="preserve">against </w:t>
      </w:r>
      <w:r w:rsidRPr="000D6792">
        <w:rPr>
          <w:rFonts w:cs="Museo Sans 300"/>
          <w:color w:val="000000"/>
          <w:sz w:val="24"/>
          <w:szCs w:val="24"/>
        </w:rPr>
        <w:t xml:space="preserve">the </w:t>
      </w:r>
      <w:r w:rsidRPr="00757CDD">
        <w:rPr>
          <w:rFonts w:cs="Museo Sans 300"/>
          <w:color w:val="000000"/>
          <w:sz w:val="24"/>
          <w:szCs w:val="24"/>
        </w:rPr>
        <w:t>findings</w:t>
      </w:r>
      <w:r w:rsidRPr="000D6792">
        <w:rPr>
          <w:rFonts w:cs="Museo Sans 300"/>
          <w:color w:val="000000"/>
          <w:sz w:val="24"/>
          <w:szCs w:val="24"/>
        </w:rPr>
        <w:t xml:space="preserve"> of the </w:t>
      </w:r>
      <w:r>
        <w:rPr>
          <w:rFonts w:cs="Museo Sans 300"/>
          <w:color w:val="000000"/>
          <w:sz w:val="24"/>
          <w:szCs w:val="24"/>
        </w:rPr>
        <w:t xml:space="preserve">DAPA </w:t>
      </w:r>
      <w:r w:rsidRPr="000D6792">
        <w:rPr>
          <w:rFonts w:cs="Museo Sans 300"/>
          <w:color w:val="000000"/>
          <w:sz w:val="24"/>
          <w:szCs w:val="24"/>
        </w:rPr>
        <w:t xml:space="preserve">assessment.  This process is </w:t>
      </w:r>
      <w:r w:rsidR="006B7874">
        <w:rPr>
          <w:rFonts w:cs="Museo Sans 300"/>
          <w:color w:val="000000"/>
          <w:sz w:val="24"/>
          <w:szCs w:val="24"/>
        </w:rPr>
        <w:t>available</w:t>
      </w:r>
      <w:r w:rsidRPr="000D6792">
        <w:rPr>
          <w:rFonts w:cs="Museo Sans 300"/>
          <w:color w:val="000000"/>
          <w:sz w:val="24"/>
          <w:szCs w:val="24"/>
        </w:rPr>
        <w:t xml:space="preserve"> </w:t>
      </w:r>
      <w:r>
        <w:rPr>
          <w:rFonts w:cs="Museo Sans 300"/>
          <w:color w:val="000000"/>
          <w:sz w:val="24"/>
          <w:szCs w:val="24"/>
        </w:rPr>
        <w:t>for</w:t>
      </w:r>
      <w:r w:rsidRPr="000D6792">
        <w:rPr>
          <w:rFonts w:cs="Museo Sans 300"/>
          <w:color w:val="000000"/>
          <w:sz w:val="24"/>
          <w:szCs w:val="24"/>
        </w:rPr>
        <w:t xml:space="preserve"> those case files </w:t>
      </w:r>
      <w:r w:rsidR="00064D99">
        <w:rPr>
          <w:rFonts w:cs="Museo Sans 300"/>
          <w:color w:val="000000"/>
          <w:sz w:val="24"/>
          <w:szCs w:val="24"/>
        </w:rPr>
        <w:t xml:space="preserve">that </w:t>
      </w:r>
      <w:r w:rsidR="003D6E1F">
        <w:rPr>
          <w:rFonts w:cs="Museo Sans 300"/>
          <w:color w:val="000000"/>
          <w:sz w:val="24"/>
          <w:szCs w:val="24"/>
        </w:rPr>
        <w:t xml:space="preserve">achieve an assessment </w:t>
      </w:r>
      <w:r w:rsidR="00064D99">
        <w:rPr>
          <w:rFonts w:cs="Museo Sans 300"/>
          <w:color w:val="000000"/>
          <w:sz w:val="24"/>
          <w:szCs w:val="24"/>
        </w:rPr>
        <w:t xml:space="preserve">score </w:t>
      </w:r>
      <w:r w:rsidR="003D6E1F">
        <w:rPr>
          <w:rFonts w:cs="Museo Sans 300"/>
          <w:color w:val="000000"/>
          <w:sz w:val="24"/>
          <w:szCs w:val="24"/>
        </w:rPr>
        <w:t xml:space="preserve">of </w:t>
      </w:r>
      <w:r w:rsidR="00064D99" w:rsidRPr="006B7874">
        <w:rPr>
          <w:rFonts w:cs="Museo Sans 300"/>
          <w:b/>
          <w:bCs/>
          <w:color w:val="000000"/>
          <w:sz w:val="24"/>
          <w:szCs w:val="24"/>
        </w:rPr>
        <w:t>74% or lower</w:t>
      </w:r>
      <w:r w:rsidR="003D6E1F">
        <w:rPr>
          <w:rFonts w:cs="Museo Sans 300"/>
          <w:color w:val="000000"/>
          <w:sz w:val="24"/>
          <w:szCs w:val="24"/>
        </w:rPr>
        <w:t>.</w:t>
      </w:r>
      <w:r w:rsidRPr="000D6792">
        <w:rPr>
          <w:rFonts w:cs="Museo Sans 300"/>
          <w:color w:val="000000"/>
          <w:sz w:val="24"/>
          <w:szCs w:val="24"/>
        </w:rPr>
        <w:t xml:space="preserve">  </w:t>
      </w:r>
    </w:p>
    <w:p w14:paraId="7CCEFE04" w14:textId="77777777" w:rsidR="0057523A" w:rsidRDefault="0057523A" w:rsidP="0057523A">
      <w:pPr>
        <w:autoSpaceDE w:val="0"/>
        <w:autoSpaceDN w:val="0"/>
        <w:adjustRightInd w:val="0"/>
        <w:spacing w:after="100" w:line="201" w:lineRule="atLeast"/>
        <w:rPr>
          <w:rFonts w:cs="Museo Sans 300"/>
          <w:color w:val="000000"/>
          <w:sz w:val="24"/>
          <w:szCs w:val="24"/>
        </w:rPr>
      </w:pPr>
    </w:p>
    <w:p w14:paraId="2BF3CF2C" w14:textId="77777777" w:rsidR="0057523A" w:rsidRPr="00435FAB" w:rsidRDefault="0057523A" w:rsidP="0057523A">
      <w:pPr>
        <w:autoSpaceDE w:val="0"/>
        <w:autoSpaceDN w:val="0"/>
        <w:adjustRightInd w:val="0"/>
        <w:spacing w:after="100" w:line="201" w:lineRule="atLeast"/>
        <w:rPr>
          <w:rFonts w:cs="Museo Sans 300"/>
          <w:b/>
          <w:color w:val="000000"/>
          <w:sz w:val="24"/>
          <w:szCs w:val="24"/>
        </w:rPr>
      </w:pPr>
      <w:r>
        <w:rPr>
          <w:rFonts w:cs="Museo Sans 300"/>
          <w:b/>
          <w:color w:val="000000"/>
          <w:sz w:val="24"/>
          <w:szCs w:val="24"/>
        </w:rPr>
        <w:t>Conditions</w:t>
      </w:r>
      <w:r w:rsidRPr="00435FAB">
        <w:rPr>
          <w:rFonts w:cs="Museo Sans 300"/>
          <w:b/>
          <w:color w:val="000000"/>
          <w:sz w:val="24"/>
          <w:szCs w:val="24"/>
        </w:rPr>
        <w:t xml:space="preserve"> for Appeal</w:t>
      </w:r>
    </w:p>
    <w:p w14:paraId="435F9E3B" w14:textId="77777777" w:rsidR="0057523A" w:rsidRPr="00C344E5" w:rsidRDefault="0057523A" w:rsidP="0057523A">
      <w:pPr>
        <w:autoSpaceDE w:val="0"/>
        <w:autoSpaceDN w:val="0"/>
        <w:adjustRightInd w:val="0"/>
        <w:spacing w:after="100" w:line="201" w:lineRule="atLeast"/>
        <w:rPr>
          <w:rFonts w:cs="Museo Sans 300"/>
          <w:color w:val="000000"/>
          <w:sz w:val="24"/>
          <w:szCs w:val="24"/>
        </w:rPr>
      </w:pPr>
      <w:r w:rsidRPr="00C344E5">
        <w:rPr>
          <w:rFonts w:cs="Museo Sans 300"/>
          <w:color w:val="000000"/>
          <w:sz w:val="24"/>
          <w:szCs w:val="24"/>
        </w:rPr>
        <w:t>An appeal may be made on the following grounds:</w:t>
      </w:r>
    </w:p>
    <w:p w14:paraId="46460FB4" w14:textId="69278D70" w:rsidR="0057523A" w:rsidRDefault="0057523A" w:rsidP="0057523A">
      <w:pPr>
        <w:pStyle w:val="ListParagraph"/>
        <w:numPr>
          <w:ilvl w:val="0"/>
          <w:numId w:val="13"/>
        </w:num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organisation disputes a score awarded to one or more case files within the </w:t>
      </w:r>
      <w:r w:rsidR="006B7874">
        <w:rPr>
          <w:rFonts w:cs="Museo Sans 300"/>
          <w:color w:val="000000"/>
          <w:sz w:val="24"/>
          <w:szCs w:val="24"/>
        </w:rPr>
        <w:t xml:space="preserve">assessment </w:t>
      </w:r>
      <w:r>
        <w:rPr>
          <w:rFonts w:cs="Museo Sans 300"/>
          <w:color w:val="000000"/>
          <w:sz w:val="24"/>
          <w:szCs w:val="24"/>
        </w:rPr>
        <w:t>sampl</w:t>
      </w:r>
      <w:r w:rsidR="006B7874">
        <w:rPr>
          <w:rFonts w:cs="Museo Sans 300"/>
          <w:color w:val="000000"/>
          <w:sz w:val="24"/>
          <w:szCs w:val="24"/>
        </w:rPr>
        <w:t xml:space="preserve">e, </w:t>
      </w:r>
      <w:r>
        <w:rPr>
          <w:rFonts w:cs="Museo Sans 300"/>
          <w:color w:val="000000"/>
          <w:sz w:val="24"/>
          <w:szCs w:val="24"/>
        </w:rPr>
        <w:t xml:space="preserve">scoring </w:t>
      </w:r>
      <w:r w:rsidR="006B7874">
        <w:rPr>
          <w:rFonts w:cs="Museo Sans 300"/>
          <w:color w:val="000000"/>
          <w:sz w:val="24"/>
          <w:szCs w:val="24"/>
        </w:rPr>
        <w:t>7</w:t>
      </w:r>
      <w:r w:rsidR="00E3457B">
        <w:rPr>
          <w:rFonts w:cs="Museo Sans 300"/>
          <w:color w:val="000000"/>
          <w:sz w:val="24"/>
          <w:szCs w:val="24"/>
        </w:rPr>
        <w:t>4% or lower;</w:t>
      </w:r>
      <w:r>
        <w:rPr>
          <w:rFonts w:cs="Museo Sans 300"/>
          <w:color w:val="000000"/>
          <w:sz w:val="24"/>
          <w:szCs w:val="24"/>
        </w:rPr>
        <w:t xml:space="preserve"> and</w:t>
      </w:r>
    </w:p>
    <w:p w14:paraId="08D5572B" w14:textId="1D11BA6F" w:rsidR="0057523A" w:rsidRDefault="0057523A" w:rsidP="0057523A">
      <w:pPr>
        <w:pStyle w:val="ListParagraph"/>
        <w:numPr>
          <w:ilvl w:val="0"/>
          <w:numId w:val="13"/>
        </w:numPr>
        <w:autoSpaceDE w:val="0"/>
        <w:autoSpaceDN w:val="0"/>
        <w:adjustRightInd w:val="0"/>
        <w:spacing w:after="100" w:line="201" w:lineRule="atLeast"/>
        <w:rPr>
          <w:rFonts w:cs="Museo Sans 300"/>
          <w:color w:val="000000"/>
          <w:sz w:val="24"/>
          <w:szCs w:val="24"/>
        </w:rPr>
      </w:pPr>
      <w:r>
        <w:rPr>
          <w:rFonts w:cs="Museo Sans 300"/>
          <w:color w:val="000000"/>
          <w:sz w:val="24"/>
          <w:szCs w:val="24"/>
        </w:rPr>
        <w:t>The appeal relates to the technical findings</w:t>
      </w:r>
      <w:r w:rsidR="00ED06EF">
        <w:rPr>
          <w:rFonts w:cs="Museo Sans 300"/>
          <w:color w:val="000000"/>
          <w:sz w:val="24"/>
          <w:szCs w:val="24"/>
        </w:rPr>
        <w:t xml:space="preserve"> and</w:t>
      </w:r>
      <w:r w:rsidR="001D09EB">
        <w:rPr>
          <w:rFonts w:cs="Museo Sans 300"/>
          <w:color w:val="000000"/>
          <w:sz w:val="24"/>
          <w:szCs w:val="24"/>
        </w:rPr>
        <w:t>/or an Area of Concern</w:t>
      </w:r>
      <w:r>
        <w:rPr>
          <w:rFonts w:cs="Museo Sans 300"/>
          <w:color w:val="000000"/>
          <w:sz w:val="24"/>
          <w:szCs w:val="24"/>
        </w:rPr>
        <w:t xml:space="preserve"> of the assessment</w:t>
      </w:r>
    </w:p>
    <w:p w14:paraId="7B7DB9E0" w14:textId="53F96CFB" w:rsidR="0057523A" w:rsidRDefault="00355943" w:rsidP="0057523A">
      <w:pPr>
        <w:pStyle w:val="ListParagraph"/>
        <w:numPr>
          <w:ilvl w:val="0"/>
          <w:numId w:val="13"/>
        </w:numPr>
        <w:autoSpaceDE w:val="0"/>
        <w:autoSpaceDN w:val="0"/>
        <w:adjustRightInd w:val="0"/>
        <w:spacing w:after="100" w:line="201" w:lineRule="atLeast"/>
        <w:rPr>
          <w:rFonts w:cs="Museo Sans 300"/>
          <w:color w:val="000000"/>
          <w:sz w:val="24"/>
          <w:szCs w:val="24"/>
        </w:rPr>
      </w:pPr>
      <w:r>
        <w:rPr>
          <w:rFonts w:cs="Museo Sans 300"/>
          <w:color w:val="000000"/>
          <w:sz w:val="24"/>
          <w:szCs w:val="24"/>
        </w:rPr>
        <w:t>The</w:t>
      </w:r>
      <w:r w:rsidR="0057523A" w:rsidRPr="00C344E5">
        <w:rPr>
          <w:rFonts w:cs="Museo Sans 300"/>
          <w:color w:val="000000"/>
          <w:sz w:val="24"/>
          <w:szCs w:val="24"/>
        </w:rPr>
        <w:t xml:space="preserve"> appeal</w:t>
      </w:r>
      <w:r>
        <w:rPr>
          <w:rFonts w:cs="Museo Sans 300"/>
          <w:color w:val="000000"/>
          <w:sz w:val="24"/>
          <w:szCs w:val="24"/>
        </w:rPr>
        <w:t xml:space="preserve"> content</w:t>
      </w:r>
      <w:r w:rsidR="0057523A" w:rsidRPr="00C344E5">
        <w:rPr>
          <w:rFonts w:cs="Museo Sans 300"/>
          <w:color w:val="000000"/>
          <w:sz w:val="24"/>
          <w:szCs w:val="24"/>
        </w:rPr>
        <w:t xml:space="preserve"> may not exceed a maximum word limit of </w:t>
      </w:r>
      <w:r w:rsidR="001F4D5C">
        <w:rPr>
          <w:rFonts w:cs="Museo Sans 300"/>
          <w:color w:val="000000"/>
          <w:sz w:val="24"/>
          <w:szCs w:val="24"/>
        </w:rPr>
        <w:t>150 word</w:t>
      </w:r>
      <w:r w:rsidR="00E344D7">
        <w:rPr>
          <w:rFonts w:cs="Museo Sans 300"/>
          <w:color w:val="000000"/>
          <w:sz w:val="24"/>
          <w:szCs w:val="24"/>
        </w:rPr>
        <w:t>s</w:t>
      </w:r>
      <w:r w:rsidR="001F4D5C">
        <w:rPr>
          <w:rFonts w:cs="Museo Sans 300"/>
          <w:color w:val="000000"/>
          <w:sz w:val="24"/>
          <w:szCs w:val="24"/>
        </w:rPr>
        <w:t xml:space="preserve"> per criteria</w:t>
      </w:r>
      <w:r w:rsidR="0057523A" w:rsidRPr="00C344E5">
        <w:rPr>
          <w:rFonts w:cs="Museo Sans 300"/>
          <w:color w:val="000000"/>
          <w:sz w:val="24"/>
          <w:szCs w:val="24"/>
        </w:rPr>
        <w:t xml:space="preserve"> for each case to be </w:t>
      </w:r>
      <w:r>
        <w:rPr>
          <w:rFonts w:cs="Museo Sans 300"/>
          <w:color w:val="000000"/>
          <w:sz w:val="24"/>
          <w:szCs w:val="24"/>
        </w:rPr>
        <w:t>challenged.</w:t>
      </w:r>
      <w:r w:rsidR="0057523A" w:rsidRPr="00C344E5">
        <w:rPr>
          <w:rFonts w:cs="Museo Sans 300"/>
          <w:color w:val="000000"/>
          <w:sz w:val="24"/>
          <w:szCs w:val="24"/>
        </w:rPr>
        <w:t xml:space="preserve"> </w:t>
      </w:r>
    </w:p>
    <w:p w14:paraId="35916C93" w14:textId="2E9544E9" w:rsidR="006D442B" w:rsidRPr="006D442B" w:rsidRDefault="006D442B" w:rsidP="006D442B">
      <w:pPr>
        <w:pStyle w:val="ListParagraph"/>
        <w:numPr>
          <w:ilvl w:val="0"/>
          <w:numId w:val="13"/>
        </w:numPr>
        <w:rPr>
          <w:bCs/>
          <w:sz w:val="24"/>
          <w:szCs w:val="24"/>
        </w:rPr>
      </w:pPr>
      <w:r w:rsidRPr="006D442B">
        <w:rPr>
          <w:sz w:val="24"/>
          <w:szCs w:val="24"/>
        </w:rPr>
        <w:t xml:space="preserve">Representations must be received by Recognising Excellence </w:t>
      </w:r>
      <w:r w:rsidRPr="006D442B">
        <w:rPr>
          <w:bCs/>
          <w:sz w:val="24"/>
          <w:szCs w:val="24"/>
        </w:rPr>
        <w:t xml:space="preserve">no later than 5pm on the submission deadline. </w:t>
      </w:r>
    </w:p>
    <w:p w14:paraId="313580A7" w14:textId="79087097" w:rsidR="0057523A" w:rsidRPr="00C344E5" w:rsidRDefault="00E344D7" w:rsidP="0057523A">
      <w:pPr>
        <w:autoSpaceDE w:val="0"/>
        <w:autoSpaceDN w:val="0"/>
        <w:adjustRightInd w:val="0"/>
        <w:spacing w:after="100" w:line="201" w:lineRule="atLeast"/>
        <w:rPr>
          <w:rFonts w:cs="Museo Sans 300"/>
          <w:b/>
          <w:color w:val="000000"/>
          <w:sz w:val="24"/>
          <w:szCs w:val="24"/>
        </w:rPr>
      </w:pPr>
      <w:r>
        <w:rPr>
          <w:rFonts w:cs="Museo Sans 300"/>
          <w:b/>
          <w:color w:val="000000"/>
          <w:sz w:val="24"/>
          <w:szCs w:val="24"/>
        </w:rPr>
        <w:t xml:space="preserve">Note: </w:t>
      </w:r>
      <w:r w:rsidR="0057523A" w:rsidRPr="00C344E5">
        <w:rPr>
          <w:rFonts w:cs="Museo Sans 300"/>
          <w:b/>
          <w:color w:val="000000"/>
          <w:sz w:val="24"/>
          <w:szCs w:val="24"/>
        </w:rPr>
        <w:t>Any appeal received outside of these conditions</w:t>
      </w:r>
      <w:r w:rsidR="0057523A">
        <w:rPr>
          <w:rFonts w:cs="Museo Sans 300"/>
          <w:b/>
          <w:color w:val="000000"/>
          <w:sz w:val="24"/>
          <w:szCs w:val="24"/>
        </w:rPr>
        <w:t xml:space="preserve"> </w:t>
      </w:r>
      <w:r w:rsidR="0057523A" w:rsidRPr="00C344E5">
        <w:rPr>
          <w:rFonts w:cs="Museo Sans 300"/>
          <w:b/>
          <w:color w:val="000000"/>
          <w:sz w:val="24"/>
          <w:szCs w:val="24"/>
        </w:rPr>
        <w:t xml:space="preserve">will immediately be rejected. </w:t>
      </w:r>
    </w:p>
    <w:p w14:paraId="6C956321" w14:textId="77777777" w:rsidR="0057523A" w:rsidRDefault="0057523A" w:rsidP="0057523A">
      <w:pPr>
        <w:autoSpaceDE w:val="0"/>
        <w:autoSpaceDN w:val="0"/>
        <w:adjustRightInd w:val="0"/>
        <w:spacing w:after="100" w:line="201" w:lineRule="atLeast"/>
        <w:rPr>
          <w:rFonts w:cs="Museo Sans 300"/>
          <w:color w:val="000000"/>
          <w:sz w:val="24"/>
          <w:szCs w:val="24"/>
        </w:rPr>
      </w:pPr>
    </w:p>
    <w:p w14:paraId="3A08C85F" w14:textId="77777777" w:rsidR="0057523A" w:rsidRPr="00345830" w:rsidRDefault="0057523A" w:rsidP="0057523A">
      <w:pPr>
        <w:autoSpaceDE w:val="0"/>
        <w:autoSpaceDN w:val="0"/>
        <w:adjustRightInd w:val="0"/>
        <w:spacing w:after="100" w:line="201" w:lineRule="atLeast"/>
        <w:rPr>
          <w:rFonts w:cs="Museo Sans 300"/>
          <w:b/>
          <w:color w:val="000000"/>
          <w:sz w:val="24"/>
          <w:szCs w:val="24"/>
        </w:rPr>
      </w:pPr>
      <w:r w:rsidRPr="00345830">
        <w:rPr>
          <w:rFonts w:cs="Museo Sans 300"/>
          <w:b/>
          <w:color w:val="000000"/>
          <w:sz w:val="24"/>
          <w:szCs w:val="24"/>
        </w:rPr>
        <w:t>Notification of Intention to Appeal</w:t>
      </w:r>
    </w:p>
    <w:p w14:paraId="50D4C531" w14:textId="47EC950A" w:rsidR="006D442B" w:rsidRPr="006D442B" w:rsidRDefault="0057523A" w:rsidP="006D442B">
      <w:pPr>
        <w:rPr>
          <w:bCs/>
          <w:sz w:val="24"/>
          <w:szCs w:val="24"/>
        </w:rPr>
      </w:pPr>
      <w:r w:rsidRPr="006D442B">
        <w:rPr>
          <w:rFonts w:cs="Museo Sans 300"/>
          <w:color w:val="000000"/>
          <w:sz w:val="24"/>
          <w:szCs w:val="24"/>
        </w:rPr>
        <w:t xml:space="preserve">In all circumstances, formal representations must be received </w:t>
      </w:r>
      <w:r w:rsidR="00B65F2B" w:rsidRPr="006D442B">
        <w:rPr>
          <w:rFonts w:cs="Museo Sans 300"/>
          <w:color w:val="000000"/>
          <w:sz w:val="24"/>
          <w:szCs w:val="24"/>
        </w:rPr>
        <w:t>within the parameters of the Service Level Agreement</w:t>
      </w:r>
      <w:r w:rsidR="005D69CC" w:rsidRPr="006D442B">
        <w:rPr>
          <w:rFonts w:cs="Museo Sans 300"/>
          <w:color w:val="000000"/>
          <w:sz w:val="24"/>
          <w:szCs w:val="24"/>
        </w:rPr>
        <w:t xml:space="preserve"> in place at the time of assessment. Deadlines for submission of appeals will vary accordingly to individual quality initiatives and Participants are directed to Scheme </w:t>
      </w:r>
      <w:r w:rsidR="00F45FFA" w:rsidRPr="006D442B">
        <w:rPr>
          <w:rFonts w:cs="Museo Sans 300"/>
          <w:color w:val="000000"/>
          <w:sz w:val="24"/>
          <w:szCs w:val="24"/>
        </w:rPr>
        <w:t xml:space="preserve">Administrator </w:t>
      </w:r>
      <w:r w:rsidR="005D69CC" w:rsidRPr="006D442B">
        <w:rPr>
          <w:rFonts w:cs="Museo Sans 300"/>
          <w:color w:val="000000"/>
          <w:sz w:val="24"/>
          <w:szCs w:val="24"/>
        </w:rPr>
        <w:t xml:space="preserve">communications which will confirm the actual date that applies. </w:t>
      </w:r>
      <w:r w:rsidR="008D0F1C" w:rsidRPr="006D442B">
        <w:rPr>
          <w:rFonts w:cs="Museo Sans 300"/>
          <w:color w:val="000000"/>
          <w:sz w:val="24"/>
          <w:szCs w:val="24"/>
        </w:rPr>
        <w:t>In all</w:t>
      </w:r>
      <w:r w:rsidR="006D442B" w:rsidRPr="006D442B">
        <w:rPr>
          <w:rFonts w:cs="Museo Sans 300"/>
          <w:color w:val="000000"/>
          <w:sz w:val="24"/>
          <w:szCs w:val="24"/>
        </w:rPr>
        <w:t xml:space="preserve"> instances, </w:t>
      </w:r>
      <w:r w:rsidR="005D69CC" w:rsidRPr="006D442B">
        <w:rPr>
          <w:rFonts w:cs="Museo Sans 300"/>
          <w:color w:val="000000"/>
          <w:sz w:val="24"/>
          <w:szCs w:val="24"/>
        </w:rPr>
        <w:t>appeals should b</w:t>
      </w:r>
      <w:r w:rsidRPr="006D442B">
        <w:rPr>
          <w:rFonts w:cs="Museo Sans 300"/>
          <w:color w:val="000000"/>
          <w:sz w:val="24"/>
          <w:szCs w:val="24"/>
        </w:rPr>
        <w:t xml:space="preserve">e submitted directly to  </w:t>
      </w:r>
      <w:hyperlink r:id="rId10" w:history="1">
        <w:r w:rsidRPr="006D442B">
          <w:rPr>
            <w:rStyle w:val="Hyperlink"/>
            <w:rFonts w:cs="Museo Sans 300"/>
            <w:sz w:val="24"/>
            <w:szCs w:val="24"/>
          </w:rPr>
          <w:t>peerreview@recognisingexcellence.co.uk</w:t>
        </w:r>
      </w:hyperlink>
      <w:r w:rsidRPr="006D442B">
        <w:rPr>
          <w:rStyle w:val="Hyperlink"/>
          <w:rFonts w:cs="Museo Sans 300"/>
          <w:sz w:val="24"/>
          <w:szCs w:val="24"/>
        </w:rPr>
        <w:t>.</w:t>
      </w:r>
      <w:r w:rsidRPr="006D442B">
        <w:rPr>
          <w:rFonts w:cs="Museo Sans 300"/>
          <w:color w:val="000000"/>
          <w:sz w:val="24"/>
          <w:szCs w:val="24"/>
        </w:rPr>
        <w:t xml:space="preserve">   </w:t>
      </w:r>
      <w:r w:rsidR="006D442B" w:rsidRPr="006D442B">
        <w:rPr>
          <w:sz w:val="24"/>
          <w:szCs w:val="24"/>
        </w:rPr>
        <w:t xml:space="preserve">Representations must be received by Recognising Excellence </w:t>
      </w:r>
      <w:r w:rsidR="006D442B" w:rsidRPr="006D442B">
        <w:rPr>
          <w:bCs/>
          <w:sz w:val="24"/>
          <w:szCs w:val="24"/>
        </w:rPr>
        <w:t>no later than 5pm on the submission deadline</w:t>
      </w:r>
      <w:r w:rsidR="006D442B">
        <w:rPr>
          <w:bCs/>
          <w:sz w:val="24"/>
          <w:szCs w:val="24"/>
        </w:rPr>
        <w:t xml:space="preserve">. </w:t>
      </w:r>
    </w:p>
    <w:p w14:paraId="7DFBC730" w14:textId="0D9DC5CA"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Representations must be submitted using the Scheme’s Representations Documentation which can be downloaded from our website</w:t>
      </w:r>
      <w:r w:rsidRPr="00B607FC">
        <w:rPr>
          <w:rFonts w:cs="Museo Sans 300"/>
          <w:b/>
          <w:color w:val="000000"/>
          <w:sz w:val="24"/>
          <w:szCs w:val="24"/>
        </w:rPr>
        <w:t xml:space="preserve"> </w:t>
      </w:r>
      <w:hyperlink r:id="rId11" w:history="1">
        <w:r w:rsidRPr="00B607FC">
          <w:rPr>
            <w:rStyle w:val="Hyperlink"/>
            <w:rFonts w:cs="Museo Sans 300"/>
            <w:b/>
            <w:sz w:val="24"/>
            <w:szCs w:val="24"/>
          </w:rPr>
          <w:t>here.</w:t>
        </w:r>
      </w:hyperlink>
    </w:p>
    <w:p w14:paraId="3F15851B" w14:textId="77777777" w:rsidR="0057523A" w:rsidRDefault="0057523A" w:rsidP="0057523A">
      <w:pPr>
        <w:autoSpaceDE w:val="0"/>
        <w:autoSpaceDN w:val="0"/>
        <w:adjustRightInd w:val="0"/>
        <w:spacing w:after="100" w:line="201" w:lineRule="atLeast"/>
        <w:rPr>
          <w:rFonts w:cs="Museo Sans 300"/>
          <w:color w:val="000000"/>
          <w:sz w:val="24"/>
          <w:szCs w:val="24"/>
        </w:rPr>
      </w:pPr>
    </w:p>
    <w:p w14:paraId="37A042A3" w14:textId="77777777" w:rsidR="0057523A" w:rsidRPr="00F8226D" w:rsidRDefault="0057523A" w:rsidP="0057523A">
      <w:pPr>
        <w:autoSpaceDE w:val="0"/>
        <w:autoSpaceDN w:val="0"/>
        <w:adjustRightInd w:val="0"/>
        <w:spacing w:after="100" w:line="201" w:lineRule="atLeast"/>
        <w:rPr>
          <w:rFonts w:cs="Museo Sans 300"/>
          <w:b/>
          <w:color w:val="000000"/>
          <w:sz w:val="24"/>
          <w:szCs w:val="24"/>
        </w:rPr>
      </w:pPr>
      <w:r w:rsidRPr="00F8226D">
        <w:rPr>
          <w:rFonts w:cs="Museo Sans 300"/>
          <w:b/>
          <w:color w:val="000000"/>
          <w:sz w:val="24"/>
          <w:szCs w:val="24"/>
        </w:rPr>
        <w:t>Content of Appeal</w:t>
      </w:r>
    </w:p>
    <w:p w14:paraId="5FF71C37" w14:textId="3D0C763A" w:rsidR="008D5EFF" w:rsidRPr="008D5EFF" w:rsidRDefault="0057523A" w:rsidP="008D5EFF">
      <w:pPr>
        <w:rPr>
          <w:bCs/>
          <w:sz w:val="24"/>
          <w:szCs w:val="24"/>
        </w:rPr>
      </w:pPr>
      <w:r w:rsidRPr="008D5EFF">
        <w:rPr>
          <w:sz w:val="24"/>
          <w:szCs w:val="24"/>
        </w:rPr>
        <w:t xml:space="preserve">Representations made </w:t>
      </w:r>
      <w:r w:rsidR="00E66766" w:rsidRPr="008D5EFF">
        <w:rPr>
          <w:sz w:val="24"/>
          <w:szCs w:val="24"/>
        </w:rPr>
        <w:t>should clearly reference the</w:t>
      </w:r>
      <w:r w:rsidR="001413D4" w:rsidRPr="008D5EFF">
        <w:rPr>
          <w:sz w:val="24"/>
          <w:szCs w:val="24"/>
        </w:rPr>
        <w:t xml:space="preserve"> Scheme criteria requirement, </w:t>
      </w:r>
      <w:r w:rsidR="00E66766" w:rsidRPr="008D5EFF">
        <w:rPr>
          <w:sz w:val="24"/>
          <w:szCs w:val="24"/>
        </w:rPr>
        <w:t xml:space="preserve">technical finding and/or Area of Concern being appealed. </w:t>
      </w:r>
      <w:r w:rsidR="008D5EFF" w:rsidRPr="008D5EFF">
        <w:rPr>
          <w:bCs/>
          <w:sz w:val="24"/>
          <w:szCs w:val="24"/>
        </w:rPr>
        <w:t xml:space="preserve">Where multiple criteria are challenged within the same case file, please include these within the same appeal. E.g. Representation </w:t>
      </w:r>
      <w:r w:rsidR="008D5EFF" w:rsidRPr="008D5EFF">
        <w:rPr>
          <w:bCs/>
          <w:sz w:val="24"/>
          <w:szCs w:val="24"/>
        </w:rPr>
        <w:lastRenderedPageBreak/>
        <w:t>One, Case File Five, Criteria challenged 2.1b, 3.2a, 5.1b etc</w:t>
      </w:r>
      <w:r w:rsidR="000A4DE8">
        <w:rPr>
          <w:bCs/>
          <w:sz w:val="24"/>
          <w:szCs w:val="24"/>
        </w:rPr>
        <w:t xml:space="preserve">. Please note the maximum word limited per criteria challenged stipulated above. </w:t>
      </w:r>
    </w:p>
    <w:p w14:paraId="71BF99E6" w14:textId="77777777" w:rsidR="003768D9" w:rsidRDefault="003768D9" w:rsidP="0057523A">
      <w:pPr>
        <w:autoSpaceDE w:val="0"/>
        <w:autoSpaceDN w:val="0"/>
        <w:adjustRightInd w:val="0"/>
        <w:spacing w:after="100" w:line="201" w:lineRule="atLeast"/>
        <w:rPr>
          <w:rFonts w:cs="Museo Sans 300"/>
          <w:b/>
          <w:color w:val="000000"/>
          <w:sz w:val="24"/>
          <w:szCs w:val="24"/>
        </w:rPr>
      </w:pPr>
    </w:p>
    <w:p w14:paraId="6018370A" w14:textId="14D039D1" w:rsidR="0057523A" w:rsidRPr="00607A8D" w:rsidRDefault="00505BDF" w:rsidP="0057523A">
      <w:pPr>
        <w:autoSpaceDE w:val="0"/>
        <w:autoSpaceDN w:val="0"/>
        <w:adjustRightInd w:val="0"/>
        <w:spacing w:after="100" w:line="201" w:lineRule="atLeast"/>
        <w:rPr>
          <w:rFonts w:cs="Museo Sans 300"/>
          <w:b/>
          <w:color w:val="000000"/>
          <w:sz w:val="24"/>
          <w:szCs w:val="24"/>
        </w:rPr>
      </w:pPr>
      <w:r>
        <w:rPr>
          <w:rFonts w:cs="Museo Sans 300"/>
          <w:b/>
          <w:color w:val="000000"/>
          <w:sz w:val="24"/>
          <w:szCs w:val="24"/>
        </w:rPr>
        <w:t xml:space="preserve">DAPA </w:t>
      </w:r>
      <w:r w:rsidR="009855D3">
        <w:rPr>
          <w:rFonts w:cs="Museo Sans 300"/>
          <w:b/>
          <w:color w:val="000000"/>
          <w:sz w:val="24"/>
          <w:szCs w:val="24"/>
        </w:rPr>
        <w:t>Technical Expert</w:t>
      </w:r>
    </w:p>
    <w:p w14:paraId="13451E22" w14:textId="3280D93D" w:rsidR="0057523A" w:rsidRDefault="009855D3" w:rsidP="0057523A">
      <w:pPr>
        <w:autoSpaceDE w:val="0"/>
        <w:autoSpaceDN w:val="0"/>
        <w:adjustRightInd w:val="0"/>
        <w:spacing w:after="100" w:line="201" w:lineRule="atLeast"/>
        <w:rPr>
          <w:rFonts w:cs="Museo Sans 300"/>
          <w:bCs/>
          <w:color w:val="000000"/>
          <w:sz w:val="24"/>
          <w:szCs w:val="24"/>
        </w:rPr>
      </w:pPr>
      <w:r>
        <w:rPr>
          <w:rFonts w:cs="Museo Sans 300"/>
          <w:bCs/>
          <w:color w:val="000000"/>
          <w:sz w:val="24"/>
          <w:szCs w:val="24"/>
        </w:rPr>
        <w:t>All appeals will be considered by the DAPA Scheme Technical Exper</w:t>
      </w:r>
      <w:r w:rsidR="00112597">
        <w:rPr>
          <w:rFonts w:cs="Museo Sans 300"/>
          <w:bCs/>
          <w:color w:val="000000"/>
          <w:sz w:val="24"/>
          <w:szCs w:val="24"/>
        </w:rPr>
        <w:t>t who acts as an impartial</w:t>
      </w:r>
      <w:r w:rsidR="00F76555">
        <w:rPr>
          <w:rFonts w:cs="Museo Sans 300"/>
          <w:bCs/>
          <w:color w:val="000000"/>
          <w:sz w:val="24"/>
          <w:szCs w:val="24"/>
        </w:rPr>
        <w:t xml:space="preserve"> advisory to the DAPA Scheme. The Technical Expert will be the only </w:t>
      </w:r>
      <w:r w:rsidR="007F0883">
        <w:rPr>
          <w:rFonts w:cs="Museo Sans 300"/>
          <w:bCs/>
          <w:color w:val="000000"/>
          <w:sz w:val="24"/>
          <w:szCs w:val="24"/>
        </w:rPr>
        <w:t>individual involved in the representations proc</w:t>
      </w:r>
      <w:r w:rsidR="001243C7">
        <w:rPr>
          <w:rFonts w:cs="Museo Sans 300"/>
          <w:bCs/>
          <w:color w:val="000000"/>
          <w:sz w:val="24"/>
          <w:szCs w:val="24"/>
        </w:rPr>
        <w:t xml:space="preserve">ess. (A contingency arrangement is in place </w:t>
      </w:r>
      <w:r w:rsidR="00106AB8">
        <w:rPr>
          <w:rFonts w:cs="Museo Sans 300"/>
          <w:bCs/>
          <w:color w:val="000000"/>
          <w:sz w:val="24"/>
          <w:szCs w:val="24"/>
        </w:rPr>
        <w:t>for those instances where the Technical Expert is not available</w:t>
      </w:r>
      <w:r w:rsidR="003B6A5F">
        <w:rPr>
          <w:rFonts w:cs="Museo Sans 300"/>
          <w:bCs/>
          <w:color w:val="000000"/>
          <w:sz w:val="24"/>
          <w:szCs w:val="24"/>
        </w:rPr>
        <w:t xml:space="preserve"> to ensure that the appeal can still be considered within the timeframe determined by the Scheme SLA.</w:t>
      </w:r>
      <w:r w:rsidR="006D0FA9">
        <w:rPr>
          <w:rFonts w:cs="Museo Sans 300"/>
          <w:bCs/>
          <w:color w:val="000000"/>
          <w:sz w:val="24"/>
          <w:szCs w:val="24"/>
        </w:rPr>
        <w:t xml:space="preserve"> In this instance, a DAPA Scheme Moderator will be appointed </w:t>
      </w:r>
      <w:r w:rsidR="00FA2D34">
        <w:rPr>
          <w:rFonts w:cs="Museo Sans 300"/>
          <w:bCs/>
          <w:color w:val="000000"/>
          <w:sz w:val="24"/>
          <w:szCs w:val="24"/>
        </w:rPr>
        <w:t>who has not been involved with the assessment and moderation activities during the formal assessment stage of the process).</w:t>
      </w:r>
    </w:p>
    <w:p w14:paraId="141ABD33" w14:textId="77777777" w:rsidR="00FA2D34" w:rsidRPr="009855D3" w:rsidRDefault="00FA2D34" w:rsidP="0057523A">
      <w:pPr>
        <w:autoSpaceDE w:val="0"/>
        <w:autoSpaceDN w:val="0"/>
        <w:adjustRightInd w:val="0"/>
        <w:spacing w:after="100" w:line="201" w:lineRule="atLeast"/>
        <w:rPr>
          <w:rFonts w:cs="Museo Sans 300"/>
          <w:bCs/>
          <w:color w:val="000000"/>
          <w:sz w:val="24"/>
          <w:szCs w:val="24"/>
        </w:rPr>
      </w:pPr>
    </w:p>
    <w:p w14:paraId="5DA1C5C2" w14:textId="77777777" w:rsidR="0057523A" w:rsidRPr="008F327E" w:rsidRDefault="0057523A" w:rsidP="0057523A">
      <w:pPr>
        <w:autoSpaceDE w:val="0"/>
        <w:autoSpaceDN w:val="0"/>
        <w:adjustRightInd w:val="0"/>
        <w:spacing w:after="100" w:line="201" w:lineRule="atLeast"/>
        <w:rPr>
          <w:rFonts w:cs="Museo Sans 300"/>
          <w:b/>
          <w:color w:val="000000"/>
          <w:sz w:val="24"/>
          <w:szCs w:val="24"/>
        </w:rPr>
      </w:pPr>
      <w:r w:rsidRPr="008F327E">
        <w:rPr>
          <w:rFonts w:cs="Museo Sans 300"/>
          <w:b/>
          <w:color w:val="000000"/>
          <w:sz w:val="24"/>
          <w:szCs w:val="24"/>
        </w:rPr>
        <w:t>Supporting Documentation</w:t>
      </w:r>
    </w:p>
    <w:p w14:paraId="222C814A" w14:textId="21A7D1A3" w:rsidR="0057523A" w:rsidRDefault="00FA2D34"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Technical Expert </w:t>
      </w:r>
      <w:r w:rsidR="0057523A">
        <w:rPr>
          <w:rFonts w:cs="Museo Sans 300"/>
          <w:color w:val="000000"/>
          <w:sz w:val="24"/>
          <w:szCs w:val="24"/>
        </w:rPr>
        <w:t xml:space="preserve">will consider the original case file submitted for assessment only and </w:t>
      </w:r>
      <w:r w:rsidR="0057523A" w:rsidRPr="00C344E5">
        <w:rPr>
          <w:rFonts w:cs="Museo Sans 300"/>
          <w:b/>
          <w:color w:val="000000"/>
          <w:sz w:val="24"/>
          <w:szCs w:val="24"/>
        </w:rPr>
        <w:t>no additional documentation</w:t>
      </w:r>
      <w:r w:rsidR="0057523A" w:rsidRPr="000D6792">
        <w:rPr>
          <w:rFonts w:cs="Museo Sans 300"/>
          <w:color w:val="000000"/>
          <w:sz w:val="24"/>
          <w:szCs w:val="24"/>
        </w:rPr>
        <w:t xml:space="preserve"> </w:t>
      </w:r>
      <w:r w:rsidR="0057523A">
        <w:rPr>
          <w:rFonts w:cs="Museo Sans 300"/>
          <w:color w:val="000000"/>
          <w:sz w:val="24"/>
          <w:szCs w:val="24"/>
        </w:rPr>
        <w:t>can</w:t>
      </w:r>
      <w:r w:rsidR="0057523A" w:rsidRPr="000D6792">
        <w:rPr>
          <w:rFonts w:cs="Museo Sans 300"/>
          <w:color w:val="000000"/>
          <w:sz w:val="24"/>
          <w:szCs w:val="24"/>
        </w:rPr>
        <w:t xml:space="preserve"> be accepted as part of the Representations process. </w:t>
      </w:r>
      <w:r w:rsidR="007049FB">
        <w:rPr>
          <w:rFonts w:cs="Museo Sans 300"/>
          <w:color w:val="000000"/>
          <w:sz w:val="24"/>
          <w:szCs w:val="24"/>
        </w:rPr>
        <w:t xml:space="preserve">The original case file in it’s entirety will be shared however consideration will only extend to the criteria that is the subject of the appeal. </w:t>
      </w:r>
    </w:p>
    <w:p w14:paraId="2068B73F" w14:textId="77777777" w:rsidR="0057523A" w:rsidRPr="000D6792" w:rsidRDefault="0057523A" w:rsidP="0057523A">
      <w:pPr>
        <w:autoSpaceDE w:val="0"/>
        <w:autoSpaceDN w:val="0"/>
        <w:adjustRightInd w:val="0"/>
        <w:spacing w:after="100" w:line="201" w:lineRule="atLeast"/>
        <w:rPr>
          <w:rFonts w:cs="Museo Sans 300"/>
          <w:color w:val="000000"/>
          <w:sz w:val="24"/>
          <w:szCs w:val="24"/>
        </w:rPr>
      </w:pPr>
    </w:p>
    <w:p w14:paraId="078290EF" w14:textId="17202649" w:rsidR="0057523A" w:rsidRDefault="0057523A" w:rsidP="0057523A">
      <w:pPr>
        <w:autoSpaceDE w:val="0"/>
        <w:autoSpaceDN w:val="0"/>
        <w:adjustRightInd w:val="0"/>
        <w:spacing w:after="100" w:line="201" w:lineRule="atLeast"/>
        <w:rPr>
          <w:rFonts w:cs="Museo Sans 300"/>
          <w:color w:val="000000"/>
          <w:sz w:val="24"/>
          <w:szCs w:val="24"/>
        </w:rPr>
      </w:pPr>
      <w:r w:rsidRPr="00184E64">
        <w:rPr>
          <w:rFonts w:cs="Museo Sans 300"/>
          <w:b/>
          <w:color w:val="000000"/>
          <w:sz w:val="24"/>
          <w:szCs w:val="24"/>
        </w:rPr>
        <w:t>Appeals Process and Possible Outcomes</w:t>
      </w:r>
    </w:p>
    <w:p w14:paraId="36FECB76" w14:textId="10BB6F7F" w:rsidR="0057523A" w:rsidRDefault="00C47F29"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The Technical Expert</w:t>
      </w:r>
      <w:r w:rsidR="002B298E">
        <w:rPr>
          <w:rFonts w:cs="Museo Sans 300"/>
          <w:color w:val="000000"/>
          <w:sz w:val="24"/>
          <w:szCs w:val="24"/>
        </w:rPr>
        <w:t xml:space="preserve"> will independently consider </w:t>
      </w:r>
      <w:r w:rsidR="0057523A">
        <w:rPr>
          <w:rFonts w:cs="Museo Sans 300"/>
          <w:color w:val="000000"/>
          <w:sz w:val="24"/>
          <w:szCs w:val="24"/>
        </w:rPr>
        <w:t>the written appeal</w:t>
      </w:r>
      <w:r w:rsidR="0057523A" w:rsidRPr="000D6792">
        <w:rPr>
          <w:rFonts w:cs="Museo Sans 300"/>
          <w:color w:val="000000"/>
          <w:sz w:val="24"/>
          <w:szCs w:val="24"/>
        </w:rPr>
        <w:t xml:space="preserve"> in conjunction with the </w:t>
      </w:r>
      <w:r w:rsidR="0057523A">
        <w:rPr>
          <w:rFonts w:cs="Museo Sans 300"/>
          <w:color w:val="000000"/>
          <w:sz w:val="24"/>
          <w:szCs w:val="24"/>
        </w:rPr>
        <w:t xml:space="preserve">original </w:t>
      </w:r>
      <w:r w:rsidR="0057523A" w:rsidRPr="000D6792">
        <w:rPr>
          <w:rFonts w:cs="Museo Sans 300"/>
          <w:color w:val="000000"/>
          <w:sz w:val="24"/>
          <w:szCs w:val="24"/>
        </w:rPr>
        <w:t xml:space="preserve">case file to determine if the </w:t>
      </w:r>
      <w:r w:rsidR="0057523A">
        <w:rPr>
          <w:rFonts w:cs="Museo Sans 300"/>
          <w:color w:val="000000"/>
          <w:sz w:val="24"/>
          <w:szCs w:val="24"/>
        </w:rPr>
        <w:t xml:space="preserve">assessment findings </w:t>
      </w:r>
      <w:r w:rsidR="0057523A" w:rsidRPr="000D6792">
        <w:rPr>
          <w:rFonts w:cs="Museo Sans 300"/>
          <w:color w:val="000000"/>
          <w:sz w:val="24"/>
          <w:szCs w:val="24"/>
        </w:rPr>
        <w:t>are to be upheld</w:t>
      </w:r>
      <w:r w:rsidR="0057523A">
        <w:rPr>
          <w:rFonts w:cs="Museo Sans 300"/>
          <w:color w:val="000000"/>
          <w:sz w:val="24"/>
          <w:szCs w:val="24"/>
        </w:rPr>
        <w:t>,</w:t>
      </w:r>
      <w:r w:rsidR="0057523A" w:rsidRPr="000D6792">
        <w:rPr>
          <w:rFonts w:cs="Museo Sans 300"/>
          <w:color w:val="000000"/>
          <w:sz w:val="24"/>
          <w:szCs w:val="24"/>
        </w:rPr>
        <w:t xml:space="preserve"> or if, </w:t>
      </w:r>
      <w:r w:rsidR="00964D55">
        <w:rPr>
          <w:rFonts w:cs="Museo Sans 300"/>
          <w:color w:val="000000"/>
          <w:sz w:val="24"/>
          <w:szCs w:val="24"/>
        </w:rPr>
        <w:t xml:space="preserve">with consideration to </w:t>
      </w:r>
      <w:r w:rsidR="0057523A">
        <w:rPr>
          <w:rFonts w:cs="Museo Sans 300"/>
          <w:color w:val="000000"/>
          <w:sz w:val="24"/>
          <w:szCs w:val="24"/>
        </w:rPr>
        <w:t xml:space="preserve">the representations received, </w:t>
      </w:r>
      <w:r w:rsidR="0057523A" w:rsidRPr="000D6792">
        <w:rPr>
          <w:rFonts w:cs="Museo Sans 300"/>
          <w:color w:val="000000"/>
          <w:sz w:val="24"/>
          <w:szCs w:val="24"/>
        </w:rPr>
        <w:t>an adjustment</w:t>
      </w:r>
      <w:r w:rsidR="0057523A">
        <w:rPr>
          <w:rFonts w:cs="Museo Sans 300"/>
          <w:color w:val="000000"/>
          <w:sz w:val="24"/>
          <w:szCs w:val="24"/>
        </w:rPr>
        <w:t xml:space="preserve"> to the assessment findings</w:t>
      </w:r>
      <w:r w:rsidR="0057523A" w:rsidRPr="000D6792">
        <w:rPr>
          <w:rFonts w:cs="Museo Sans 300"/>
          <w:color w:val="000000"/>
          <w:sz w:val="24"/>
          <w:szCs w:val="24"/>
        </w:rPr>
        <w:t xml:space="preserve"> should be made</w:t>
      </w:r>
      <w:r w:rsidR="0057523A">
        <w:rPr>
          <w:rFonts w:cs="Museo Sans 300"/>
          <w:color w:val="000000"/>
          <w:sz w:val="24"/>
          <w:szCs w:val="24"/>
        </w:rPr>
        <w:t xml:space="preserve">. </w:t>
      </w:r>
      <w:r w:rsidR="0057523A" w:rsidRPr="000D6792">
        <w:rPr>
          <w:rFonts w:cs="Museo Sans 300"/>
          <w:color w:val="000000"/>
          <w:sz w:val="24"/>
          <w:szCs w:val="24"/>
        </w:rPr>
        <w:t xml:space="preserve"> </w:t>
      </w:r>
    </w:p>
    <w:p w14:paraId="67D02EE7" w14:textId="77777777"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There are two possible outcomes:</w:t>
      </w:r>
    </w:p>
    <w:p w14:paraId="38A4473C" w14:textId="77777777" w:rsidR="0057523A" w:rsidRDefault="0057523A" w:rsidP="0057523A">
      <w:pPr>
        <w:pStyle w:val="ListParagraph"/>
        <w:numPr>
          <w:ilvl w:val="0"/>
          <w:numId w:val="9"/>
        </w:numPr>
        <w:autoSpaceDE w:val="0"/>
        <w:autoSpaceDN w:val="0"/>
        <w:adjustRightInd w:val="0"/>
        <w:spacing w:after="100" w:line="201" w:lineRule="atLeast"/>
        <w:rPr>
          <w:rFonts w:cs="Museo Sans 300"/>
          <w:color w:val="000000"/>
          <w:sz w:val="24"/>
          <w:szCs w:val="24"/>
        </w:rPr>
      </w:pPr>
      <w:r>
        <w:rPr>
          <w:rFonts w:cs="Museo Sans 300"/>
          <w:color w:val="000000"/>
          <w:sz w:val="24"/>
          <w:szCs w:val="24"/>
        </w:rPr>
        <w:t>The original score(s) is upheld</w:t>
      </w:r>
    </w:p>
    <w:p w14:paraId="114D912E" w14:textId="77777777" w:rsidR="0057523A" w:rsidRDefault="0057523A" w:rsidP="0057523A">
      <w:pPr>
        <w:pStyle w:val="ListParagraph"/>
        <w:numPr>
          <w:ilvl w:val="0"/>
          <w:numId w:val="9"/>
        </w:numPr>
        <w:autoSpaceDE w:val="0"/>
        <w:autoSpaceDN w:val="0"/>
        <w:adjustRightInd w:val="0"/>
        <w:spacing w:after="100" w:line="201" w:lineRule="atLeast"/>
        <w:rPr>
          <w:rFonts w:cs="Museo Sans 300"/>
          <w:color w:val="000000"/>
          <w:sz w:val="24"/>
          <w:szCs w:val="24"/>
        </w:rPr>
      </w:pPr>
      <w:r>
        <w:rPr>
          <w:rFonts w:cs="Museo Sans 300"/>
          <w:color w:val="000000"/>
          <w:sz w:val="24"/>
          <w:szCs w:val="24"/>
        </w:rPr>
        <w:t>The original score (s) is revised</w:t>
      </w:r>
    </w:p>
    <w:p w14:paraId="67C75704" w14:textId="77777777" w:rsidR="0057523A" w:rsidRDefault="0057523A" w:rsidP="0057523A">
      <w:pPr>
        <w:autoSpaceDE w:val="0"/>
        <w:autoSpaceDN w:val="0"/>
        <w:adjustRightInd w:val="0"/>
        <w:spacing w:after="100" w:line="201" w:lineRule="atLeast"/>
        <w:rPr>
          <w:rFonts w:cs="Museo Sans 300"/>
          <w:color w:val="000000"/>
          <w:sz w:val="24"/>
          <w:szCs w:val="24"/>
        </w:rPr>
      </w:pPr>
    </w:p>
    <w:p w14:paraId="03A4C18B" w14:textId="240F9898" w:rsidR="0057523A" w:rsidRDefault="0057523A" w:rsidP="0057523A">
      <w:pPr>
        <w:autoSpaceDE w:val="0"/>
        <w:autoSpaceDN w:val="0"/>
        <w:adjustRightInd w:val="0"/>
        <w:spacing w:after="100" w:line="201" w:lineRule="atLeast"/>
        <w:rPr>
          <w:rFonts w:cs="Museo Sans 300"/>
          <w:color w:val="000000"/>
          <w:sz w:val="24"/>
          <w:szCs w:val="24"/>
        </w:rPr>
      </w:pPr>
      <w:r w:rsidRPr="00ED14DD">
        <w:rPr>
          <w:rFonts w:cs="Museo Sans 300"/>
          <w:b/>
          <w:color w:val="000000"/>
          <w:sz w:val="24"/>
          <w:szCs w:val="24"/>
        </w:rPr>
        <w:t>Representations Panel Report Addendum</w:t>
      </w:r>
    </w:p>
    <w:p w14:paraId="62A1A5CB" w14:textId="70B7E135" w:rsidR="0057523A" w:rsidRPr="008C2F36" w:rsidRDefault="00C47F29"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The Technical Expe</w:t>
      </w:r>
      <w:r w:rsidR="00E81C65">
        <w:rPr>
          <w:rFonts w:cs="Museo Sans 300"/>
          <w:color w:val="000000"/>
          <w:sz w:val="24"/>
          <w:szCs w:val="24"/>
        </w:rPr>
        <w:t>rt will complete</w:t>
      </w:r>
      <w:r w:rsidR="007C4A6A">
        <w:rPr>
          <w:rFonts w:cs="Museo Sans 300"/>
          <w:color w:val="000000"/>
          <w:sz w:val="24"/>
          <w:szCs w:val="24"/>
        </w:rPr>
        <w:t xml:space="preserve"> the DAPA Representation Submission and Scheme Response Report</w:t>
      </w:r>
      <w:r w:rsidR="0057523A">
        <w:rPr>
          <w:rFonts w:cs="Museo Sans 300"/>
          <w:color w:val="000000"/>
          <w:sz w:val="24"/>
          <w:szCs w:val="24"/>
        </w:rPr>
        <w:t xml:space="preserve"> which will include </w:t>
      </w:r>
      <w:r w:rsidR="00B90D3A">
        <w:rPr>
          <w:rFonts w:cs="Museo Sans 300"/>
          <w:color w:val="000000"/>
          <w:sz w:val="24"/>
          <w:szCs w:val="24"/>
        </w:rPr>
        <w:t>a</w:t>
      </w:r>
      <w:r w:rsidR="0057523A">
        <w:rPr>
          <w:rFonts w:cs="Museo Sans 300"/>
          <w:color w:val="000000"/>
          <w:sz w:val="24"/>
          <w:szCs w:val="24"/>
        </w:rPr>
        <w:t xml:space="preserve"> full response to the representations received. Upon conclusion of the representations process, the report addendum will be shared with the organisation, the </w:t>
      </w:r>
      <w:r w:rsidR="00251951">
        <w:rPr>
          <w:rFonts w:cs="Museo Sans 300"/>
          <w:color w:val="000000"/>
          <w:sz w:val="24"/>
          <w:szCs w:val="24"/>
        </w:rPr>
        <w:t>L</w:t>
      </w:r>
      <w:r w:rsidR="0057523A">
        <w:rPr>
          <w:rFonts w:cs="Museo Sans 300"/>
          <w:color w:val="000000"/>
          <w:sz w:val="24"/>
          <w:szCs w:val="24"/>
        </w:rPr>
        <w:t xml:space="preserve">ead </w:t>
      </w:r>
      <w:r w:rsidR="00251951">
        <w:rPr>
          <w:rFonts w:cs="Museo Sans 300"/>
          <w:color w:val="000000"/>
          <w:sz w:val="24"/>
          <w:szCs w:val="24"/>
        </w:rPr>
        <w:t>O</w:t>
      </w:r>
      <w:r w:rsidR="0057523A">
        <w:rPr>
          <w:rFonts w:cs="Museo Sans 300"/>
          <w:color w:val="000000"/>
          <w:sz w:val="24"/>
          <w:szCs w:val="24"/>
        </w:rPr>
        <w:t>rganisation</w:t>
      </w:r>
      <w:r w:rsidR="00251951">
        <w:rPr>
          <w:rFonts w:cs="Museo Sans 300"/>
          <w:color w:val="000000"/>
          <w:sz w:val="24"/>
          <w:szCs w:val="24"/>
        </w:rPr>
        <w:t xml:space="preserve"> (where applicable)</w:t>
      </w:r>
      <w:r w:rsidR="0057523A">
        <w:rPr>
          <w:rFonts w:cs="Museo Sans 300"/>
          <w:color w:val="000000"/>
          <w:sz w:val="24"/>
          <w:szCs w:val="24"/>
        </w:rPr>
        <w:t xml:space="preserve"> and with </w:t>
      </w:r>
      <w:r w:rsidR="00251951">
        <w:rPr>
          <w:rFonts w:cs="Museo Sans 300"/>
          <w:color w:val="000000"/>
          <w:sz w:val="24"/>
          <w:szCs w:val="24"/>
        </w:rPr>
        <w:t>The Money and Pensions Service (MaPS)</w:t>
      </w:r>
      <w:r w:rsidR="0057523A">
        <w:rPr>
          <w:rFonts w:cs="Museo Sans 300"/>
          <w:color w:val="000000"/>
          <w:sz w:val="24"/>
          <w:szCs w:val="24"/>
        </w:rPr>
        <w:t xml:space="preserve">. </w:t>
      </w:r>
    </w:p>
    <w:p w14:paraId="6E6254B4" w14:textId="2485166F"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DAPA Scheme Response Report will act as an addendum to the </w:t>
      </w:r>
      <w:r w:rsidR="00E81C65">
        <w:rPr>
          <w:rFonts w:cs="Museo Sans 300"/>
          <w:color w:val="000000"/>
          <w:sz w:val="24"/>
          <w:szCs w:val="24"/>
        </w:rPr>
        <w:t xml:space="preserve">DAPA </w:t>
      </w:r>
      <w:r>
        <w:rPr>
          <w:rFonts w:cs="Museo Sans 300"/>
          <w:color w:val="000000"/>
          <w:sz w:val="24"/>
          <w:szCs w:val="24"/>
        </w:rPr>
        <w:t xml:space="preserve">Assessment Summary Report. </w:t>
      </w:r>
      <w:r w:rsidR="00EF31DD">
        <w:rPr>
          <w:rFonts w:cs="Museo Sans 300"/>
          <w:color w:val="000000"/>
          <w:sz w:val="24"/>
          <w:szCs w:val="24"/>
        </w:rPr>
        <w:t xml:space="preserve">In addition to the </w:t>
      </w:r>
      <w:r w:rsidR="00410236">
        <w:rPr>
          <w:rFonts w:cs="Museo Sans 300"/>
          <w:color w:val="000000"/>
          <w:sz w:val="24"/>
          <w:szCs w:val="24"/>
        </w:rPr>
        <w:t xml:space="preserve">report addendum, </w:t>
      </w:r>
      <w:r w:rsidR="006C11F8">
        <w:rPr>
          <w:rFonts w:cs="Museo Sans 300"/>
          <w:color w:val="000000"/>
          <w:sz w:val="24"/>
          <w:szCs w:val="24"/>
        </w:rPr>
        <w:t xml:space="preserve">and in the event that </w:t>
      </w:r>
      <w:r w:rsidR="00410236">
        <w:rPr>
          <w:rFonts w:cs="Museo Sans 300"/>
          <w:color w:val="000000"/>
          <w:sz w:val="24"/>
          <w:szCs w:val="24"/>
        </w:rPr>
        <w:t xml:space="preserve">amendments </w:t>
      </w:r>
      <w:r w:rsidR="006C11F8">
        <w:rPr>
          <w:rFonts w:cs="Museo Sans 300"/>
          <w:color w:val="000000"/>
          <w:sz w:val="24"/>
          <w:szCs w:val="24"/>
        </w:rPr>
        <w:t xml:space="preserve">are </w:t>
      </w:r>
      <w:r w:rsidR="00410236">
        <w:rPr>
          <w:rFonts w:cs="Museo Sans 300"/>
          <w:color w:val="000000"/>
          <w:sz w:val="24"/>
          <w:szCs w:val="24"/>
        </w:rPr>
        <w:t xml:space="preserve">made </w:t>
      </w:r>
      <w:r w:rsidR="00C76F0B">
        <w:rPr>
          <w:rFonts w:cs="Museo Sans 300"/>
          <w:color w:val="000000"/>
          <w:sz w:val="24"/>
          <w:szCs w:val="24"/>
        </w:rPr>
        <w:t xml:space="preserve">to the assessment findings as </w:t>
      </w:r>
      <w:r w:rsidR="006C11F8">
        <w:rPr>
          <w:rFonts w:cs="Museo Sans 300"/>
          <w:color w:val="000000"/>
          <w:sz w:val="24"/>
          <w:szCs w:val="24"/>
        </w:rPr>
        <w:t xml:space="preserve">a result of the </w:t>
      </w:r>
      <w:r w:rsidR="00D56459">
        <w:rPr>
          <w:rFonts w:cs="Museo Sans 300"/>
          <w:color w:val="000000"/>
          <w:sz w:val="24"/>
          <w:szCs w:val="24"/>
        </w:rPr>
        <w:t>findings of the appeals process</w:t>
      </w:r>
      <w:r w:rsidR="006C11F8">
        <w:rPr>
          <w:rFonts w:cs="Museo Sans 300"/>
          <w:color w:val="000000"/>
          <w:sz w:val="24"/>
          <w:szCs w:val="24"/>
        </w:rPr>
        <w:t xml:space="preserve">, updated versions of the </w:t>
      </w:r>
      <w:r w:rsidR="00C76F0B">
        <w:rPr>
          <w:rFonts w:cs="Museo Sans 300"/>
          <w:color w:val="000000"/>
          <w:sz w:val="24"/>
          <w:szCs w:val="24"/>
        </w:rPr>
        <w:t xml:space="preserve">formal assessment and </w:t>
      </w:r>
      <w:r w:rsidR="006C11F8">
        <w:rPr>
          <w:rFonts w:cs="Museo Sans 300"/>
          <w:color w:val="000000"/>
          <w:sz w:val="24"/>
          <w:szCs w:val="24"/>
        </w:rPr>
        <w:t>case summary report</w:t>
      </w:r>
      <w:r w:rsidR="007C2AF8">
        <w:rPr>
          <w:rFonts w:cs="Museo Sans 300"/>
          <w:color w:val="000000"/>
          <w:sz w:val="24"/>
          <w:szCs w:val="24"/>
        </w:rPr>
        <w:t xml:space="preserve">(s) </w:t>
      </w:r>
      <w:r w:rsidR="006C11F8">
        <w:rPr>
          <w:rFonts w:cs="Museo Sans 300"/>
          <w:color w:val="000000"/>
          <w:sz w:val="24"/>
          <w:szCs w:val="24"/>
        </w:rPr>
        <w:t xml:space="preserve">will be issued. </w:t>
      </w:r>
    </w:p>
    <w:p w14:paraId="4D58762D" w14:textId="77777777" w:rsidR="0057523A" w:rsidRDefault="0057523A" w:rsidP="0057523A">
      <w:pPr>
        <w:autoSpaceDE w:val="0"/>
        <w:autoSpaceDN w:val="0"/>
        <w:adjustRightInd w:val="0"/>
        <w:spacing w:after="100" w:line="201" w:lineRule="atLeast"/>
        <w:rPr>
          <w:rFonts w:cs="Museo Sans 300"/>
          <w:color w:val="000000"/>
          <w:sz w:val="24"/>
          <w:szCs w:val="24"/>
        </w:rPr>
      </w:pPr>
    </w:p>
    <w:p w14:paraId="0EE7B657" w14:textId="77777777" w:rsidR="0057523A" w:rsidRPr="00FD339D" w:rsidRDefault="0057523A" w:rsidP="0057523A">
      <w:pPr>
        <w:autoSpaceDE w:val="0"/>
        <w:autoSpaceDN w:val="0"/>
        <w:adjustRightInd w:val="0"/>
        <w:spacing w:after="100" w:line="201" w:lineRule="atLeast"/>
        <w:rPr>
          <w:rFonts w:cs="Museo Sans 300"/>
          <w:b/>
          <w:color w:val="000000"/>
          <w:sz w:val="24"/>
          <w:szCs w:val="24"/>
        </w:rPr>
      </w:pPr>
      <w:r w:rsidRPr="00FD339D">
        <w:rPr>
          <w:rFonts w:cs="Museo Sans 300"/>
          <w:b/>
          <w:color w:val="000000"/>
          <w:sz w:val="24"/>
          <w:szCs w:val="24"/>
        </w:rPr>
        <w:t>Service Level Agreement</w:t>
      </w:r>
    </w:p>
    <w:p w14:paraId="2130D3B1" w14:textId="26B2DEBF"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DAPA Scheme service level agreement and all </w:t>
      </w:r>
      <w:r w:rsidR="00CD3596">
        <w:rPr>
          <w:rFonts w:cs="Museo Sans 300"/>
          <w:color w:val="000000"/>
          <w:sz w:val="24"/>
          <w:szCs w:val="24"/>
        </w:rPr>
        <w:t xml:space="preserve">subsequent </w:t>
      </w:r>
      <w:r>
        <w:rPr>
          <w:rFonts w:cs="Museo Sans 300"/>
          <w:color w:val="000000"/>
          <w:sz w:val="24"/>
          <w:szCs w:val="24"/>
        </w:rPr>
        <w:t xml:space="preserve">engagement indicators for organisations will be placed on hold during the representations process. Organisations will not be obligated to respond to any urgent remedial action identified on a case being appealed during this time. However, it is expected that urgent remedial action identified on any case that is not being appealed, is completed within the service level stipulated. In addition, there will be no requirement to sign and return acceptance of the Assessment Summary Report until the representations process has concluded.  </w:t>
      </w:r>
    </w:p>
    <w:p w14:paraId="56D417BC" w14:textId="7999E679" w:rsidR="0057523A" w:rsidRDefault="0057523A" w:rsidP="00FD599B">
      <w:pPr>
        <w:rPr>
          <w:rFonts w:cs="Museo Sans 300"/>
          <w:color w:val="000000"/>
          <w:sz w:val="24"/>
          <w:szCs w:val="24"/>
        </w:rPr>
      </w:pPr>
      <w:r w:rsidRPr="005D550F">
        <w:rPr>
          <w:sz w:val="24"/>
          <w:szCs w:val="24"/>
        </w:rPr>
        <w:t xml:space="preserve">Upon conclusion of the representations process, the </w:t>
      </w:r>
      <w:r>
        <w:rPr>
          <w:sz w:val="24"/>
          <w:szCs w:val="24"/>
        </w:rPr>
        <w:t>service level agreement</w:t>
      </w:r>
      <w:r w:rsidRPr="005D550F">
        <w:rPr>
          <w:sz w:val="24"/>
          <w:szCs w:val="24"/>
        </w:rPr>
        <w:t xml:space="preserve"> will recommence</w:t>
      </w:r>
      <w:r w:rsidR="00FD599B">
        <w:rPr>
          <w:sz w:val="24"/>
          <w:szCs w:val="24"/>
        </w:rPr>
        <w:t xml:space="preserve">. </w:t>
      </w:r>
      <w:r>
        <w:rPr>
          <w:rFonts w:cs="Museo Sans 300"/>
          <w:color w:val="000000"/>
          <w:sz w:val="24"/>
          <w:szCs w:val="24"/>
        </w:rPr>
        <w:t xml:space="preserve"> </w:t>
      </w:r>
    </w:p>
    <w:p w14:paraId="219F6ABB" w14:textId="77777777" w:rsidR="0057523A" w:rsidRPr="000459FF" w:rsidRDefault="0057523A" w:rsidP="0057523A">
      <w:pPr>
        <w:autoSpaceDE w:val="0"/>
        <w:autoSpaceDN w:val="0"/>
        <w:adjustRightInd w:val="0"/>
        <w:spacing w:after="100" w:line="201" w:lineRule="atLeast"/>
        <w:rPr>
          <w:rFonts w:cs="Museo Sans 300"/>
          <w:b/>
          <w:color w:val="000000"/>
          <w:sz w:val="24"/>
          <w:szCs w:val="24"/>
        </w:rPr>
      </w:pPr>
      <w:r w:rsidRPr="000459FF">
        <w:rPr>
          <w:rFonts w:cs="Museo Sans 300"/>
          <w:b/>
          <w:color w:val="000000"/>
          <w:sz w:val="24"/>
          <w:szCs w:val="24"/>
        </w:rPr>
        <w:t>Further Recourse</w:t>
      </w:r>
    </w:p>
    <w:p w14:paraId="7BCE3CD4" w14:textId="6A8FCC51" w:rsidR="0057523A" w:rsidRDefault="0057523A" w:rsidP="0057523A">
      <w:pPr>
        <w:autoSpaceDE w:val="0"/>
        <w:autoSpaceDN w:val="0"/>
        <w:adjustRightInd w:val="0"/>
        <w:spacing w:after="100" w:line="201" w:lineRule="atLeast"/>
        <w:rPr>
          <w:rFonts w:cs="Museo Sans 300"/>
          <w:color w:val="000000"/>
          <w:sz w:val="24"/>
          <w:szCs w:val="24"/>
        </w:rPr>
      </w:pPr>
      <w:r w:rsidRPr="000D6792">
        <w:rPr>
          <w:rFonts w:cs="Museo Sans 300"/>
          <w:color w:val="000000"/>
          <w:sz w:val="24"/>
          <w:szCs w:val="24"/>
        </w:rPr>
        <w:t xml:space="preserve">The findings of the representations process will be considered final, and there will be no further recourse available to the organisation. </w:t>
      </w:r>
    </w:p>
    <w:p w14:paraId="299E1E10" w14:textId="31F40F19" w:rsidR="00680336" w:rsidRDefault="00680336" w:rsidP="0057523A">
      <w:pPr>
        <w:autoSpaceDE w:val="0"/>
        <w:autoSpaceDN w:val="0"/>
        <w:adjustRightInd w:val="0"/>
        <w:spacing w:after="100" w:line="201" w:lineRule="atLeast"/>
        <w:rPr>
          <w:rFonts w:cs="Museo Sans 300"/>
          <w:color w:val="000000"/>
          <w:sz w:val="24"/>
          <w:szCs w:val="24"/>
        </w:rPr>
      </w:pPr>
    </w:p>
    <w:p w14:paraId="7AF41043" w14:textId="77777777" w:rsidR="00680336" w:rsidRPr="000D6792" w:rsidRDefault="00680336" w:rsidP="0057523A">
      <w:pPr>
        <w:autoSpaceDE w:val="0"/>
        <w:autoSpaceDN w:val="0"/>
        <w:adjustRightInd w:val="0"/>
        <w:spacing w:after="100" w:line="201" w:lineRule="atLeast"/>
        <w:rPr>
          <w:rFonts w:cs="Museo Sans 300"/>
          <w:color w:val="000000"/>
          <w:sz w:val="24"/>
          <w:szCs w:val="24"/>
        </w:rPr>
      </w:pPr>
    </w:p>
    <w:p w14:paraId="2F5D5FB8" w14:textId="5AD82412" w:rsidR="00CD15A9" w:rsidRDefault="00CD15A9">
      <w:pPr>
        <w:spacing w:after="0" w:line="276" w:lineRule="auto"/>
        <w:rPr>
          <w:rFonts w:cs="Museo Sans 300"/>
          <w:color w:val="000000"/>
          <w:sz w:val="24"/>
          <w:szCs w:val="24"/>
        </w:rPr>
      </w:pPr>
      <w:r>
        <w:rPr>
          <w:rFonts w:cs="Museo Sans 300"/>
          <w:color w:val="000000"/>
          <w:sz w:val="24"/>
          <w:szCs w:val="24"/>
        </w:rPr>
        <w:br w:type="page"/>
      </w:r>
    </w:p>
    <w:p w14:paraId="30EC9CEF" w14:textId="6E32EA7B" w:rsidR="001C10A3" w:rsidRPr="00B30BBB" w:rsidRDefault="00B30BBB" w:rsidP="0057523A">
      <w:pPr>
        <w:autoSpaceDE w:val="0"/>
        <w:autoSpaceDN w:val="0"/>
        <w:adjustRightInd w:val="0"/>
        <w:spacing w:after="100" w:line="201" w:lineRule="atLeast"/>
        <w:rPr>
          <w:rFonts w:cs="Museo Sans 300"/>
          <w:b/>
          <w:bCs/>
          <w:color w:val="000000"/>
          <w:sz w:val="24"/>
          <w:szCs w:val="24"/>
        </w:rPr>
      </w:pPr>
      <w:r w:rsidRPr="00B30BBB">
        <w:rPr>
          <w:rFonts w:cs="Museo Sans 300"/>
          <w:b/>
          <w:bCs/>
          <w:color w:val="000000"/>
          <w:sz w:val="24"/>
          <w:szCs w:val="24"/>
        </w:rPr>
        <w:lastRenderedPageBreak/>
        <w:t>Guidance for Scope of DAPA Appeals Process</w:t>
      </w:r>
    </w:p>
    <w:p w14:paraId="325A5D55" w14:textId="4FBB480A" w:rsidR="00B30BBB" w:rsidRDefault="00B30BBB" w:rsidP="0057523A">
      <w:pPr>
        <w:autoSpaceDE w:val="0"/>
        <w:autoSpaceDN w:val="0"/>
        <w:adjustRightInd w:val="0"/>
        <w:spacing w:after="100" w:line="201" w:lineRule="atLeast"/>
        <w:rPr>
          <w:rFonts w:cs="Museo Sans 300"/>
          <w:color w:val="000000"/>
          <w:sz w:val="24"/>
          <w:szCs w:val="24"/>
        </w:rPr>
      </w:pPr>
    </w:p>
    <w:p w14:paraId="28FAD6E5" w14:textId="77777777" w:rsidR="00B30BBB" w:rsidRDefault="00B30BBB" w:rsidP="00B30BBB">
      <w:pPr>
        <w:rPr>
          <w:sz w:val="24"/>
          <w:szCs w:val="24"/>
        </w:rPr>
      </w:pPr>
      <w:r>
        <w:rPr>
          <w:sz w:val="24"/>
          <w:szCs w:val="24"/>
        </w:rPr>
        <w:t xml:space="preserve">The DAPA Scheme Representations process allows participants to appeal against findings identified during the assessment process in strictly limited circumstances, including that the appeal relates to </w:t>
      </w:r>
      <w:r>
        <w:rPr>
          <w:b/>
          <w:bCs/>
          <w:sz w:val="24"/>
          <w:szCs w:val="24"/>
        </w:rPr>
        <w:t xml:space="preserve">technical findings and/or an Area of Concern </w:t>
      </w:r>
      <w:r>
        <w:rPr>
          <w:sz w:val="24"/>
          <w:szCs w:val="24"/>
        </w:rPr>
        <w:t>of the assessment.</w:t>
      </w:r>
    </w:p>
    <w:p w14:paraId="3A12DA1F" w14:textId="77777777" w:rsidR="00B30BBB" w:rsidRDefault="00B30BBB" w:rsidP="00B30BBB">
      <w:pPr>
        <w:rPr>
          <w:sz w:val="24"/>
          <w:szCs w:val="24"/>
        </w:rPr>
      </w:pPr>
      <w:r>
        <w:rPr>
          <w:sz w:val="24"/>
          <w:szCs w:val="24"/>
        </w:rPr>
        <w:t xml:space="preserve">The purpose of this guidance is to assist participants to identify situations where a criteria has </w:t>
      </w:r>
      <w:r w:rsidRPr="00A72034">
        <w:rPr>
          <w:b/>
          <w:bCs/>
          <w:sz w:val="24"/>
          <w:szCs w:val="24"/>
        </w:rPr>
        <w:t>not</w:t>
      </w:r>
      <w:r>
        <w:rPr>
          <w:sz w:val="24"/>
          <w:szCs w:val="24"/>
        </w:rPr>
        <w:t xml:space="preserve"> been assessed as an Area of Concern but either as an Area for Improvement or Area for Development or Not Applicable which can be the subject of representations because that criteria is treated as relating to a ‘technical finding’. It is not relevant that the criteria in question is classified by the Scheme as ‘Essential’. Nor is it relevant that the criteria in question would contribute to the overall percentage score if assessed as Met and would not contribute to the overall percentage score if assessed as Not Met in the same way as an Area of Concern would be scored (although, of course, the first criteria assessed as an Area of Concern leads to a 20% reduction in the file score and a further finding of Actual or Potential Detriment leads to the overall file score being reduced to 0).</w:t>
      </w:r>
    </w:p>
    <w:p w14:paraId="0046A351" w14:textId="77777777" w:rsidR="00B30BBB" w:rsidRDefault="00B30BBB" w:rsidP="00B30BBB">
      <w:pPr>
        <w:rPr>
          <w:sz w:val="24"/>
          <w:szCs w:val="24"/>
        </w:rPr>
      </w:pPr>
      <w:r>
        <w:rPr>
          <w:sz w:val="24"/>
          <w:szCs w:val="24"/>
        </w:rPr>
        <w:t>In general terms, a finding will be treated as ‘technical’ where either debt advice has been provided or the Assessor has found that debt advice should have been provided in relation to the particular activity covered by the criteria. Conversely, if the activity in question is essentially Administrative or Organisational, it will not be treated as ‘technical’.</w:t>
      </w:r>
    </w:p>
    <w:p w14:paraId="30F41BEA" w14:textId="77777777" w:rsidR="00B30BBB" w:rsidRDefault="00B30BBB" w:rsidP="00B30BBB">
      <w:pPr>
        <w:rPr>
          <w:sz w:val="24"/>
          <w:szCs w:val="24"/>
        </w:rPr>
      </w:pPr>
      <w:r>
        <w:rPr>
          <w:sz w:val="24"/>
          <w:szCs w:val="24"/>
        </w:rPr>
        <w:t>More specifically:</w:t>
      </w:r>
    </w:p>
    <w:p w14:paraId="1FDFB069" w14:textId="77777777" w:rsidR="00B30BBB" w:rsidRDefault="00B30BBB" w:rsidP="00B30BBB">
      <w:pPr>
        <w:rPr>
          <w:sz w:val="24"/>
          <w:szCs w:val="24"/>
        </w:rPr>
      </w:pPr>
      <w:r>
        <w:rPr>
          <w:sz w:val="24"/>
          <w:szCs w:val="24"/>
        </w:rPr>
        <w:t xml:space="preserve">In addition to </w:t>
      </w:r>
      <w:r w:rsidRPr="00FC622F">
        <w:rPr>
          <w:b/>
          <w:bCs/>
          <w:sz w:val="24"/>
          <w:szCs w:val="24"/>
        </w:rPr>
        <w:t>any</w:t>
      </w:r>
      <w:r>
        <w:rPr>
          <w:sz w:val="24"/>
          <w:szCs w:val="24"/>
        </w:rPr>
        <w:t xml:space="preserve"> criteria assessed as an Area of Concern being treated as technical, any criteria that the Assessor would usually assess as an Area of Concern but because of the particular circumstances of the case assesses as an Area for Improvement as explained in the findings, will be treated as technical. </w:t>
      </w:r>
    </w:p>
    <w:p w14:paraId="637F6A2F" w14:textId="77777777" w:rsidR="00B30BBB" w:rsidRDefault="00B30BBB" w:rsidP="00B30BBB">
      <w:pPr>
        <w:rPr>
          <w:sz w:val="24"/>
          <w:szCs w:val="24"/>
        </w:rPr>
      </w:pPr>
      <w:r>
        <w:rPr>
          <w:sz w:val="24"/>
          <w:szCs w:val="24"/>
        </w:rPr>
        <w:t xml:space="preserve">Generally, the Good Practice criteria identified as Areas for Development will </w:t>
      </w:r>
      <w:r w:rsidRPr="00FC622F">
        <w:rPr>
          <w:b/>
          <w:bCs/>
          <w:sz w:val="24"/>
          <w:szCs w:val="24"/>
        </w:rPr>
        <w:t>not</w:t>
      </w:r>
      <w:r>
        <w:rPr>
          <w:sz w:val="24"/>
          <w:szCs w:val="24"/>
        </w:rPr>
        <w:t xml:space="preserve"> be treated as technical, but there are some exceptions which are noted below where they apply.</w:t>
      </w:r>
    </w:p>
    <w:p w14:paraId="2A197633" w14:textId="77777777" w:rsidR="00B30BBB" w:rsidRDefault="00B30BBB" w:rsidP="00B30BBB">
      <w:pPr>
        <w:rPr>
          <w:sz w:val="24"/>
          <w:szCs w:val="24"/>
        </w:rPr>
      </w:pPr>
      <w:r>
        <w:rPr>
          <w:sz w:val="24"/>
          <w:szCs w:val="24"/>
        </w:rPr>
        <w:t>Section 1 of the Assessment Report form (Case Record Preliminaries) is organisational and has no impact on the scoring so will not be treated as technical.</w:t>
      </w:r>
    </w:p>
    <w:p w14:paraId="2DD8564C" w14:textId="77777777" w:rsidR="00B30BBB" w:rsidRDefault="00B30BBB" w:rsidP="00B30BBB">
      <w:pPr>
        <w:rPr>
          <w:sz w:val="24"/>
          <w:szCs w:val="24"/>
        </w:rPr>
      </w:pPr>
      <w:r>
        <w:rPr>
          <w:sz w:val="24"/>
          <w:szCs w:val="24"/>
        </w:rPr>
        <w:t xml:space="preserve">Exploration is the foundation of debt advice and is so closely allied to the provision of debt advice that it seems appropriate to treat it as ‘relating to a technical finding’. Section 2 (Casework (‘CW’)) and section 2 (Advice Only (‘AO’)) criteria 2.1(a) – 2.3 and criteria 3.1 will, therefore, be treated as technical. </w:t>
      </w:r>
    </w:p>
    <w:p w14:paraId="5F737E4B" w14:textId="77777777" w:rsidR="00B30BBB" w:rsidRDefault="00B30BBB" w:rsidP="00B30BBB">
      <w:pPr>
        <w:rPr>
          <w:sz w:val="24"/>
          <w:szCs w:val="24"/>
        </w:rPr>
      </w:pPr>
      <w:r>
        <w:rPr>
          <w:sz w:val="24"/>
          <w:szCs w:val="24"/>
        </w:rPr>
        <w:t>Section 3 (Deal with urgent issues) (CW) usually involves the provision of debt advice and so will be treated as technical and the same applies to section 4 (Check liability) (CW), including the Good Practice criteria 4.2 as by definition use of 2</w:t>
      </w:r>
      <w:r w:rsidRPr="003B2C2E">
        <w:rPr>
          <w:sz w:val="24"/>
          <w:szCs w:val="24"/>
          <w:vertAlign w:val="superscript"/>
        </w:rPr>
        <w:t>nd</w:t>
      </w:r>
      <w:r>
        <w:rPr>
          <w:sz w:val="24"/>
          <w:szCs w:val="24"/>
        </w:rPr>
        <w:t xml:space="preserve"> tier support ‘relates to a technical </w:t>
      </w:r>
      <w:r>
        <w:rPr>
          <w:sz w:val="24"/>
          <w:szCs w:val="24"/>
        </w:rPr>
        <w:lastRenderedPageBreak/>
        <w:t>finding’. The corresponding AO criteria – 2.4, 2.5, 2.6 and 2.7 – will also be treated as technical.</w:t>
      </w:r>
    </w:p>
    <w:p w14:paraId="6CC0F788" w14:textId="77777777" w:rsidR="00B30BBB" w:rsidRDefault="00B30BBB" w:rsidP="00B30BBB">
      <w:pPr>
        <w:rPr>
          <w:sz w:val="24"/>
          <w:szCs w:val="24"/>
        </w:rPr>
      </w:pPr>
      <w:r>
        <w:rPr>
          <w:sz w:val="24"/>
          <w:szCs w:val="24"/>
        </w:rPr>
        <w:t>Although Income Maximisation (3.2(a) (AO)/5.1(a) (CW) is an essential part of the debt advice process, it is not necessarily technical in the sense of involving the provision of debt advice. This criteria will not usually be treated as technical unless there is evidence that income maximisation advice has been provided to the client or the Assessor has found that it should have been provided in relation to a particular debt or liability, for example, claiming a DHP to clear rent or CT arrears, claiming CT exemption to reduce arrears.</w:t>
      </w:r>
    </w:p>
    <w:p w14:paraId="41E51903" w14:textId="77777777" w:rsidR="00B30BBB" w:rsidRDefault="00B30BBB" w:rsidP="00B30BBB">
      <w:pPr>
        <w:rPr>
          <w:sz w:val="24"/>
          <w:szCs w:val="24"/>
        </w:rPr>
      </w:pPr>
      <w:r>
        <w:rPr>
          <w:sz w:val="24"/>
          <w:szCs w:val="24"/>
        </w:rPr>
        <w:t>Income verification (3.2(b) (AO)/5.1(b) (CW)) is an administrative activity and will not be treated as technical.</w:t>
      </w:r>
    </w:p>
    <w:p w14:paraId="0CFD64A1" w14:textId="77777777" w:rsidR="00B30BBB" w:rsidRDefault="00B30BBB" w:rsidP="00B30BBB">
      <w:pPr>
        <w:rPr>
          <w:sz w:val="24"/>
          <w:szCs w:val="24"/>
        </w:rPr>
      </w:pPr>
      <w:r>
        <w:rPr>
          <w:sz w:val="24"/>
          <w:szCs w:val="24"/>
        </w:rPr>
        <w:t>Benefit/Tax Credit check (3.2(c) (AO)/5.1(c) (CW)) is another essential part of the debt advice process but it does not even have to be carried out by the debt adviser as the client can be sign-posted. If it is carried out by the debt adviser, the technical knowledge required relates to benefits and tax credits rather than debt advice. This criteria will not be treated as technical in the sense defined above. Whether or not a copy of any benefit check is on the file is an administrative not a technical issue. For the avoidance of doubt, the Good Practice criteria 3.12, 3.13, 3.15 (AO)/5.2, 5.3, 5.4 (CW) will not be treated as technical.</w:t>
      </w:r>
    </w:p>
    <w:p w14:paraId="700A3479" w14:textId="77777777" w:rsidR="00B30BBB" w:rsidRDefault="00B30BBB" w:rsidP="00B30BBB">
      <w:pPr>
        <w:rPr>
          <w:sz w:val="24"/>
          <w:szCs w:val="24"/>
        </w:rPr>
      </w:pPr>
      <w:r>
        <w:rPr>
          <w:sz w:val="24"/>
          <w:szCs w:val="24"/>
        </w:rPr>
        <w:t>Section 6 (Financial Statement) (CW)/criteria 3.4(a) – 3.5 (AO) will all be treated as technical except for criteria 3.5 (AO)/6.3 (CW) which is organisational in connection with use of the SFS and administrative in relation to a copy being on the case file. The final part of criteria 3.4(c) (AO)/6.2 (CW) – ‘</w:t>
      </w:r>
      <w:r w:rsidRPr="00A47D20">
        <w:rPr>
          <w:sz w:val="24"/>
          <w:szCs w:val="24"/>
        </w:rPr>
        <w:t>particularly high or low expenditure areas and the absence of any obvious items of essential expenditure investigated</w:t>
      </w:r>
      <w:r>
        <w:rPr>
          <w:sz w:val="24"/>
          <w:szCs w:val="24"/>
        </w:rPr>
        <w:t>’ – will be treated as technical. For the avoidance of doubt, the Good Practice criteria 3.17 (AO)/6.4 (CW) (Gross income/expenditure) will not be treated as technical.</w:t>
      </w:r>
    </w:p>
    <w:p w14:paraId="528C0ACE" w14:textId="77777777" w:rsidR="00B30BBB" w:rsidRDefault="00B30BBB" w:rsidP="00B30BBB">
      <w:pPr>
        <w:rPr>
          <w:sz w:val="24"/>
          <w:szCs w:val="24"/>
        </w:rPr>
      </w:pPr>
      <w:r>
        <w:rPr>
          <w:sz w:val="24"/>
          <w:szCs w:val="24"/>
        </w:rPr>
        <w:t xml:space="preserve">Section 7 (Explore options) (CW)/3.3, 3.7 – 3.11 (AO) will all be treated as technical including Good Practice criteria 3.14 (AO)/7.8 (CW) (Appropriate research). </w:t>
      </w:r>
    </w:p>
    <w:p w14:paraId="61875C9F" w14:textId="77777777" w:rsidR="00B30BBB" w:rsidRDefault="00B30BBB" w:rsidP="00B30BBB">
      <w:pPr>
        <w:rPr>
          <w:sz w:val="24"/>
          <w:szCs w:val="24"/>
        </w:rPr>
      </w:pPr>
      <w:r>
        <w:rPr>
          <w:sz w:val="24"/>
          <w:szCs w:val="24"/>
        </w:rPr>
        <w:t>Sections 8 (Priority creditors) (CW) and 9 (Other creditors) (CW) will all be treated as technical including Good Practice criteria 9.3 (CW) (Repayment plans) as will criteria 3.6 (AO) and Good Practice criteria 3.16 (AO).</w:t>
      </w:r>
    </w:p>
    <w:p w14:paraId="20F92D29" w14:textId="77777777" w:rsidR="00B30BBB" w:rsidRDefault="00B30BBB" w:rsidP="00B30BBB">
      <w:pPr>
        <w:rPr>
          <w:sz w:val="24"/>
          <w:szCs w:val="24"/>
        </w:rPr>
      </w:pPr>
      <w:r>
        <w:rPr>
          <w:sz w:val="24"/>
          <w:szCs w:val="24"/>
        </w:rPr>
        <w:t>Section 4 (AO)/Section 10 (CW) (Implement action plan) will be treated as technical with the exception of criteria 4.4 and 4.5 (AO)/10.7, 10.8 and 10.9 (CW) as these are organisational. For the avoidance of doubt, the Good Practice criteria will not be treated as technical.</w:t>
      </w:r>
    </w:p>
    <w:p w14:paraId="124638DE" w14:textId="77777777" w:rsidR="00B30BBB" w:rsidRDefault="00B30BBB" w:rsidP="00B30BBB">
      <w:pPr>
        <w:rPr>
          <w:sz w:val="24"/>
          <w:szCs w:val="24"/>
        </w:rPr>
      </w:pPr>
      <w:r>
        <w:rPr>
          <w:sz w:val="24"/>
          <w:szCs w:val="24"/>
        </w:rPr>
        <w:t>Section 5 (AO)/Section 11 (CW) will not be treated as technical as these activities are essentially administrative/organisational with the exception of criteria 11.3 (CW) (the corresponding AO criteria is 4.6).</w:t>
      </w:r>
    </w:p>
    <w:p w14:paraId="2B004E41" w14:textId="77777777" w:rsidR="00B30BBB" w:rsidRPr="008D1BDC" w:rsidRDefault="00B30BBB" w:rsidP="00B30BBB">
      <w:pPr>
        <w:rPr>
          <w:sz w:val="24"/>
          <w:szCs w:val="24"/>
        </w:rPr>
      </w:pPr>
      <w:r>
        <w:rPr>
          <w:b/>
          <w:bCs/>
          <w:sz w:val="24"/>
          <w:szCs w:val="24"/>
        </w:rPr>
        <w:lastRenderedPageBreak/>
        <w:t xml:space="preserve">Note: </w:t>
      </w:r>
      <w:r>
        <w:rPr>
          <w:sz w:val="24"/>
          <w:szCs w:val="24"/>
        </w:rPr>
        <w:t>If any of the individual criteria discussed above are assessed as an Area of Concern, they are automatically eligible to be the subject of an appeal and the participant’s representations will be considered and a response given subject to the file score being 74% or lower and the maximum word count not being exceeded.</w:t>
      </w:r>
    </w:p>
    <w:p w14:paraId="5EC79062" w14:textId="77777777" w:rsidR="00B30BBB" w:rsidRDefault="00B30BBB" w:rsidP="0057523A">
      <w:pPr>
        <w:autoSpaceDE w:val="0"/>
        <w:autoSpaceDN w:val="0"/>
        <w:adjustRightInd w:val="0"/>
        <w:spacing w:after="100" w:line="201" w:lineRule="atLeast"/>
        <w:rPr>
          <w:rFonts w:cs="Museo Sans 300"/>
          <w:color w:val="000000"/>
          <w:sz w:val="24"/>
          <w:szCs w:val="24"/>
        </w:rPr>
      </w:pPr>
    </w:p>
    <w:p w14:paraId="2EBE0F11" w14:textId="77777777" w:rsidR="00CD15A9" w:rsidRDefault="00CD15A9" w:rsidP="0057523A">
      <w:pPr>
        <w:autoSpaceDE w:val="0"/>
        <w:autoSpaceDN w:val="0"/>
        <w:adjustRightInd w:val="0"/>
        <w:spacing w:after="100" w:line="201" w:lineRule="atLeast"/>
        <w:rPr>
          <w:rFonts w:cs="Museo Sans 300"/>
          <w:color w:val="000000"/>
          <w:sz w:val="24"/>
          <w:szCs w:val="24"/>
        </w:rPr>
      </w:pPr>
    </w:p>
    <w:sectPr w:rsidR="00CD15A9" w:rsidSect="003D7C2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9099" w14:textId="77777777" w:rsidR="0094286B" w:rsidRDefault="0094286B" w:rsidP="00E85A73">
      <w:pPr>
        <w:spacing w:after="0" w:line="240" w:lineRule="auto"/>
      </w:pPr>
      <w:r>
        <w:separator/>
      </w:r>
    </w:p>
  </w:endnote>
  <w:endnote w:type="continuationSeparator" w:id="0">
    <w:p w14:paraId="7B69495B" w14:textId="77777777" w:rsidR="0094286B" w:rsidRDefault="0094286B" w:rsidP="00E85A73">
      <w:pPr>
        <w:spacing w:after="0" w:line="240" w:lineRule="auto"/>
      </w:pPr>
      <w:r>
        <w:continuationSeparator/>
      </w:r>
    </w:p>
  </w:endnote>
  <w:endnote w:type="continuationNotice" w:id="1">
    <w:p w14:paraId="7DCD97F2" w14:textId="77777777" w:rsidR="0094286B" w:rsidRDefault="00942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9584"/>
      <w:docPartObj>
        <w:docPartGallery w:val="Page Numbers (Bottom of Page)"/>
        <w:docPartUnique/>
      </w:docPartObj>
    </w:sdtPr>
    <w:sdtEndPr>
      <w:rPr>
        <w:noProof/>
      </w:rPr>
    </w:sdtEndPr>
    <w:sdtContent>
      <w:p w14:paraId="492BDBF6" w14:textId="176645AD" w:rsidR="00CD15A9" w:rsidRDefault="00CD1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4339A" w14:textId="16406988" w:rsidR="000666DF" w:rsidRDefault="001809E7">
    <w:pPr>
      <w:pStyle w:val="Footer"/>
    </w:pPr>
    <w:r>
      <w:t>DAPA Representations and Appeals Process July 2021 V</w:t>
    </w:r>
    <w:r w:rsidR="004458F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14FF" w14:textId="77777777" w:rsidR="0094286B" w:rsidRDefault="0094286B" w:rsidP="00E85A73">
      <w:pPr>
        <w:spacing w:after="0" w:line="240" w:lineRule="auto"/>
      </w:pPr>
      <w:r>
        <w:separator/>
      </w:r>
    </w:p>
  </w:footnote>
  <w:footnote w:type="continuationSeparator" w:id="0">
    <w:p w14:paraId="592E8309" w14:textId="77777777" w:rsidR="0094286B" w:rsidRDefault="0094286B" w:rsidP="00E85A73">
      <w:pPr>
        <w:spacing w:after="0" w:line="240" w:lineRule="auto"/>
      </w:pPr>
      <w:r>
        <w:continuationSeparator/>
      </w:r>
    </w:p>
  </w:footnote>
  <w:footnote w:type="continuationNotice" w:id="1">
    <w:p w14:paraId="250CFA14" w14:textId="77777777" w:rsidR="0094286B" w:rsidRDefault="00942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62CE" w14:textId="4BB1BFA9" w:rsidR="000666DF" w:rsidRDefault="00F7218F">
    <w:pPr>
      <w:pStyle w:val="Header"/>
      <w:rPr>
        <w:noProof/>
        <w:lang w:eastAsia="en-GB"/>
      </w:rPr>
    </w:pPr>
    <w:r w:rsidRPr="00F7218F">
      <w:rPr>
        <w:noProof/>
      </w:rPr>
      <w:drawing>
        <wp:anchor distT="0" distB="0" distL="114300" distR="114300" simplePos="0" relativeHeight="251660288" behindDoc="1" locked="0" layoutInCell="1" allowOverlap="1" wp14:anchorId="1ADBF148" wp14:editId="729A9925">
          <wp:simplePos x="0" y="0"/>
          <wp:positionH relativeFrom="column">
            <wp:posOffset>1398270</wp:posOffset>
          </wp:positionH>
          <wp:positionV relativeFrom="paragraph">
            <wp:posOffset>52705</wp:posOffset>
          </wp:positionV>
          <wp:extent cx="2200275" cy="762000"/>
          <wp:effectExtent l="0" t="0" r="0" b="0"/>
          <wp:wrapTight wrapText="bothSides">
            <wp:wrapPolygon edited="0">
              <wp:start x="5797" y="540"/>
              <wp:lineTo x="2805" y="5940"/>
              <wp:lineTo x="2244" y="7560"/>
              <wp:lineTo x="2244" y="15120"/>
              <wp:lineTo x="5984" y="18360"/>
              <wp:lineTo x="11034" y="19440"/>
              <wp:lineTo x="19075" y="19440"/>
              <wp:lineTo x="19449" y="18360"/>
              <wp:lineTo x="20945" y="11340"/>
              <wp:lineTo x="21319" y="2700"/>
              <wp:lineTo x="19075" y="1620"/>
              <wp:lineTo x="6545" y="540"/>
              <wp:lineTo x="5797" y="5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l="15327" t="34613" r="20099" b="33931"/>
                  <a:stretch>
                    <a:fillRect/>
                  </a:stretch>
                </pic:blipFill>
                <pic:spPr bwMode="auto">
                  <a:xfrm>
                    <a:off x="0" y="0"/>
                    <a:ext cx="2200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18F">
      <w:rPr>
        <w:noProof/>
      </w:rPr>
      <w:drawing>
        <wp:anchor distT="0" distB="0" distL="114300" distR="114300" simplePos="0" relativeHeight="251659264" behindDoc="1" locked="0" layoutInCell="1" allowOverlap="1" wp14:anchorId="48AD5F25" wp14:editId="5D1631F8">
          <wp:simplePos x="0" y="0"/>
          <wp:positionH relativeFrom="column">
            <wp:posOffset>0</wp:posOffset>
          </wp:positionH>
          <wp:positionV relativeFrom="paragraph">
            <wp:posOffset>60325</wp:posOffset>
          </wp:positionV>
          <wp:extent cx="1371600" cy="800100"/>
          <wp:effectExtent l="0" t="0" r="0" b="0"/>
          <wp:wrapTight wrapText="bothSides">
            <wp:wrapPolygon edited="0">
              <wp:start x="0" y="0"/>
              <wp:lineTo x="0" y="21086"/>
              <wp:lineTo x="21300" y="21086"/>
              <wp:lineTo x="21300" y="0"/>
              <wp:lineTo x="0" y="0"/>
            </wp:wrapPolygon>
          </wp:wrapTight>
          <wp:docPr id="5" name="Picture 5" descr="Recognising Excellenc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gnising Excellence (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6DF">
      <w:t xml:space="preserve">   </w:t>
    </w:r>
    <w:r w:rsidR="000666DF">
      <w:tab/>
    </w:r>
    <w:r w:rsidR="000666DF">
      <w:tab/>
      <w:t xml:space="preserve">   </w:t>
    </w:r>
  </w:p>
  <w:p w14:paraId="44DA50E6" w14:textId="00FFC1A3" w:rsidR="00F7218F" w:rsidRDefault="00F7218F">
    <w:pPr>
      <w:pStyle w:val="Header"/>
      <w:rPr>
        <w:noProof/>
        <w:lang w:eastAsia="en-GB"/>
      </w:rPr>
    </w:pPr>
  </w:p>
  <w:p w14:paraId="6EB44661" w14:textId="14FCF1FA" w:rsidR="00F7218F" w:rsidRDefault="00F7218F">
    <w:pPr>
      <w:pStyle w:val="Header"/>
      <w:rPr>
        <w:noProof/>
        <w:lang w:eastAsia="en-GB"/>
      </w:rPr>
    </w:pPr>
  </w:p>
  <w:p w14:paraId="46DBB0B4" w14:textId="7516BBA9" w:rsidR="00F7218F" w:rsidRDefault="00F7218F">
    <w:pPr>
      <w:pStyle w:val="Header"/>
      <w:rPr>
        <w:noProof/>
        <w:lang w:eastAsia="en-GB"/>
      </w:rPr>
    </w:pPr>
  </w:p>
  <w:p w14:paraId="042A2D2C" w14:textId="77777777" w:rsidR="00F7218F" w:rsidRDefault="00F7218F">
    <w:pPr>
      <w:pStyle w:val="Header"/>
    </w:pPr>
  </w:p>
  <w:p w14:paraId="604663FB" w14:textId="77777777" w:rsidR="000666DF" w:rsidRDefault="0006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455"/>
    <w:multiLevelType w:val="hybridMultilevel"/>
    <w:tmpl w:val="02363436"/>
    <w:lvl w:ilvl="0" w:tplc="50E6F6A8">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6569E"/>
    <w:multiLevelType w:val="hybridMultilevel"/>
    <w:tmpl w:val="83AA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F4B88"/>
    <w:multiLevelType w:val="hybridMultilevel"/>
    <w:tmpl w:val="E714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372CE"/>
    <w:multiLevelType w:val="hybridMultilevel"/>
    <w:tmpl w:val="486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2053"/>
    <w:multiLevelType w:val="hybridMultilevel"/>
    <w:tmpl w:val="02363436"/>
    <w:lvl w:ilvl="0" w:tplc="50E6F6A8">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8478F"/>
    <w:multiLevelType w:val="hybridMultilevel"/>
    <w:tmpl w:val="DFF2CD14"/>
    <w:lvl w:ilvl="0" w:tplc="08090011">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E4D1C"/>
    <w:multiLevelType w:val="hybridMultilevel"/>
    <w:tmpl w:val="B3E6F84C"/>
    <w:lvl w:ilvl="0" w:tplc="280EE3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F4911"/>
    <w:multiLevelType w:val="hybridMultilevel"/>
    <w:tmpl w:val="A09AD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BB1E6C"/>
    <w:multiLevelType w:val="hybridMultilevel"/>
    <w:tmpl w:val="86E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67612"/>
    <w:multiLevelType w:val="multilevel"/>
    <w:tmpl w:val="B0FE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92575"/>
    <w:multiLevelType w:val="hybridMultilevel"/>
    <w:tmpl w:val="83803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9354F2"/>
    <w:multiLevelType w:val="hybridMultilevel"/>
    <w:tmpl w:val="35623D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614F6968"/>
    <w:multiLevelType w:val="hybridMultilevel"/>
    <w:tmpl w:val="242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A2415"/>
    <w:multiLevelType w:val="hybridMultilevel"/>
    <w:tmpl w:val="CBC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3"/>
  </w:num>
  <w:num w:numId="5">
    <w:abstractNumId w:val="9"/>
  </w:num>
  <w:num w:numId="6">
    <w:abstractNumId w:val="7"/>
  </w:num>
  <w:num w:numId="7">
    <w:abstractNumId w:val="10"/>
  </w:num>
  <w:num w:numId="8">
    <w:abstractNumId w:val="8"/>
  </w:num>
  <w:num w:numId="9">
    <w:abstractNumId w:val="2"/>
  </w:num>
  <w:num w:numId="10">
    <w:abstractNumId w:val="6"/>
  </w:num>
  <w:num w:numId="11">
    <w:abstractNumId w:val="12"/>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73"/>
    <w:rsid w:val="00003071"/>
    <w:rsid w:val="000071D3"/>
    <w:rsid w:val="000178B6"/>
    <w:rsid w:val="00022211"/>
    <w:rsid w:val="00030256"/>
    <w:rsid w:val="000459FF"/>
    <w:rsid w:val="00045BE9"/>
    <w:rsid w:val="00051B22"/>
    <w:rsid w:val="00057CA5"/>
    <w:rsid w:val="00060B33"/>
    <w:rsid w:val="00064657"/>
    <w:rsid w:val="00064D99"/>
    <w:rsid w:val="000666DF"/>
    <w:rsid w:val="0006787B"/>
    <w:rsid w:val="00076A64"/>
    <w:rsid w:val="000A4DE8"/>
    <w:rsid w:val="000A6491"/>
    <w:rsid w:val="000B0637"/>
    <w:rsid w:val="000B336A"/>
    <w:rsid w:val="000C3D69"/>
    <w:rsid w:val="000C4BFE"/>
    <w:rsid w:val="000D3574"/>
    <w:rsid w:val="000D6A8C"/>
    <w:rsid w:val="000E0AD3"/>
    <w:rsid w:val="000E48CB"/>
    <w:rsid w:val="000F2D99"/>
    <w:rsid w:val="00104BDF"/>
    <w:rsid w:val="00106AB8"/>
    <w:rsid w:val="00112597"/>
    <w:rsid w:val="00122FB5"/>
    <w:rsid w:val="001243C7"/>
    <w:rsid w:val="001354C1"/>
    <w:rsid w:val="001413D4"/>
    <w:rsid w:val="00162899"/>
    <w:rsid w:val="001670AF"/>
    <w:rsid w:val="00167971"/>
    <w:rsid w:val="001718B9"/>
    <w:rsid w:val="001809E7"/>
    <w:rsid w:val="00184E64"/>
    <w:rsid w:val="001C10A3"/>
    <w:rsid w:val="001C1856"/>
    <w:rsid w:val="001C7CC6"/>
    <w:rsid w:val="001D09EB"/>
    <w:rsid w:val="001E5627"/>
    <w:rsid w:val="001F012E"/>
    <w:rsid w:val="001F3BB9"/>
    <w:rsid w:val="001F4D5C"/>
    <w:rsid w:val="00206D0E"/>
    <w:rsid w:val="00211C4C"/>
    <w:rsid w:val="002167D0"/>
    <w:rsid w:val="00221916"/>
    <w:rsid w:val="00234495"/>
    <w:rsid w:val="00251951"/>
    <w:rsid w:val="00256AE8"/>
    <w:rsid w:val="0026696F"/>
    <w:rsid w:val="0027678B"/>
    <w:rsid w:val="002A010D"/>
    <w:rsid w:val="002B0395"/>
    <w:rsid w:val="002B298E"/>
    <w:rsid w:val="002B7493"/>
    <w:rsid w:val="002F758E"/>
    <w:rsid w:val="003020B1"/>
    <w:rsid w:val="0031053D"/>
    <w:rsid w:val="00312DE5"/>
    <w:rsid w:val="00323FCF"/>
    <w:rsid w:val="00345830"/>
    <w:rsid w:val="00354845"/>
    <w:rsid w:val="00355943"/>
    <w:rsid w:val="0037656F"/>
    <w:rsid w:val="003768D9"/>
    <w:rsid w:val="0037778D"/>
    <w:rsid w:val="00392131"/>
    <w:rsid w:val="003B5037"/>
    <w:rsid w:val="003B6A5F"/>
    <w:rsid w:val="003D6E1F"/>
    <w:rsid w:val="003D7C21"/>
    <w:rsid w:val="003E44DB"/>
    <w:rsid w:val="003F69BB"/>
    <w:rsid w:val="00405AAF"/>
    <w:rsid w:val="00410236"/>
    <w:rsid w:val="00435FAB"/>
    <w:rsid w:val="004458FF"/>
    <w:rsid w:val="00452446"/>
    <w:rsid w:val="00461464"/>
    <w:rsid w:val="004657CF"/>
    <w:rsid w:val="00475FFA"/>
    <w:rsid w:val="00493BFF"/>
    <w:rsid w:val="004A123D"/>
    <w:rsid w:val="004A3547"/>
    <w:rsid w:val="004C1450"/>
    <w:rsid w:val="004C7B67"/>
    <w:rsid w:val="004D4FC2"/>
    <w:rsid w:val="004E2345"/>
    <w:rsid w:val="004E4CD3"/>
    <w:rsid w:val="004F2EC6"/>
    <w:rsid w:val="004F682C"/>
    <w:rsid w:val="00505004"/>
    <w:rsid w:val="005059B8"/>
    <w:rsid w:val="00505BDF"/>
    <w:rsid w:val="0050619F"/>
    <w:rsid w:val="00515670"/>
    <w:rsid w:val="00516324"/>
    <w:rsid w:val="00523310"/>
    <w:rsid w:val="0052538D"/>
    <w:rsid w:val="0053547F"/>
    <w:rsid w:val="005579A2"/>
    <w:rsid w:val="0057523A"/>
    <w:rsid w:val="00580B8C"/>
    <w:rsid w:val="00594507"/>
    <w:rsid w:val="005A342E"/>
    <w:rsid w:val="005A7219"/>
    <w:rsid w:val="005B1B91"/>
    <w:rsid w:val="005D5E48"/>
    <w:rsid w:val="005D69CC"/>
    <w:rsid w:val="005D7989"/>
    <w:rsid w:val="005E0AFD"/>
    <w:rsid w:val="005F0CBF"/>
    <w:rsid w:val="00600FC8"/>
    <w:rsid w:val="00602ED8"/>
    <w:rsid w:val="00605254"/>
    <w:rsid w:val="006055C7"/>
    <w:rsid w:val="00607A8D"/>
    <w:rsid w:val="00624241"/>
    <w:rsid w:val="00633600"/>
    <w:rsid w:val="00636535"/>
    <w:rsid w:val="00642405"/>
    <w:rsid w:val="00667863"/>
    <w:rsid w:val="00677009"/>
    <w:rsid w:val="00680336"/>
    <w:rsid w:val="00680BAE"/>
    <w:rsid w:val="006A6751"/>
    <w:rsid w:val="006B7874"/>
    <w:rsid w:val="006C11F8"/>
    <w:rsid w:val="006D0FA9"/>
    <w:rsid w:val="006D442B"/>
    <w:rsid w:val="006E7D16"/>
    <w:rsid w:val="00703FD6"/>
    <w:rsid w:val="007049FB"/>
    <w:rsid w:val="00705F52"/>
    <w:rsid w:val="00706F22"/>
    <w:rsid w:val="00720154"/>
    <w:rsid w:val="00724519"/>
    <w:rsid w:val="00730C06"/>
    <w:rsid w:val="0073424F"/>
    <w:rsid w:val="00734E48"/>
    <w:rsid w:val="007433F3"/>
    <w:rsid w:val="00746486"/>
    <w:rsid w:val="00754415"/>
    <w:rsid w:val="00757CDD"/>
    <w:rsid w:val="0076008F"/>
    <w:rsid w:val="007643EF"/>
    <w:rsid w:val="007730D4"/>
    <w:rsid w:val="007865EF"/>
    <w:rsid w:val="007952EB"/>
    <w:rsid w:val="007B1A40"/>
    <w:rsid w:val="007B7243"/>
    <w:rsid w:val="007B764D"/>
    <w:rsid w:val="007C2AF8"/>
    <w:rsid w:val="007C4A6A"/>
    <w:rsid w:val="007E0520"/>
    <w:rsid w:val="007E3088"/>
    <w:rsid w:val="007E6C36"/>
    <w:rsid w:val="007F0883"/>
    <w:rsid w:val="007F416C"/>
    <w:rsid w:val="00812B43"/>
    <w:rsid w:val="00836E63"/>
    <w:rsid w:val="00853D70"/>
    <w:rsid w:val="008661B2"/>
    <w:rsid w:val="0089222A"/>
    <w:rsid w:val="008C2C66"/>
    <w:rsid w:val="008C2F36"/>
    <w:rsid w:val="008D0F1C"/>
    <w:rsid w:val="008D15F0"/>
    <w:rsid w:val="008D5EFF"/>
    <w:rsid w:val="008F327E"/>
    <w:rsid w:val="00923EB3"/>
    <w:rsid w:val="0094286B"/>
    <w:rsid w:val="00951D4A"/>
    <w:rsid w:val="00957207"/>
    <w:rsid w:val="00964D55"/>
    <w:rsid w:val="009855D3"/>
    <w:rsid w:val="00995A8A"/>
    <w:rsid w:val="009A3C79"/>
    <w:rsid w:val="009B0155"/>
    <w:rsid w:val="009D4E65"/>
    <w:rsid w:val="009D7811"/>
    <w:rsid w:val="00A00D65"/>
    <w:rsid w:val="00A03CBA"/>
    <w:rsid w:val="00A04B74"/>
    <w:rsid w:val="00A10125"/>
    <w:rsid w:val="00A12313"/>
    <w:rsid w:val="00A214C0"/>
    <w:rsid w:val="00A27A2A"/>
    <w:rsid w:val="00A30709"/>
    <w:rsid w:val="00A366B1"/>
    <w:rsid w:val="00A603EE"/>
    <w:rsid w:val="00A74B72"/>
    <w:rsid w:val="00A823B0"/>
    <w:rsid w:val="00A9298D"/>
    <w:rsid w:val="00AB67FE"/>
    <w:rsid w:val="00AC2ECA"/>
    <w:rsid w:val="00AC39CF"/>
    <w:rsid w:val="00AD0937"/>
    <w:rsid w:val="00AD468F"/>
    <w:rsid w:val="00AE2A55"/>
    <w:rsid w:val="00AE7086"/>
    <w:rsid w:val="00AF2033"/>
    <w:rsid w:val="00B30BBB"/>
    <w:rsid w:val="00B45A2C"/>
    <w:rsid w:val="00B47497"/>
    <w:rsid w:val="00B607FC"/>
    <w:rsid w:val="00B62DFE"/>
    <w:rsid w:val="00B65F2B"/>
    <w:rsid w:val="00B90D3A"/>
    <w:rsid w:val="00B96A2B"/>
    <w:rsid w:val="00BA161D"/>
    <w:rsid w:val="00BB3520"/>
    <w:rsid w:val="00BC066F"/>
    <w:rsid w:val="00BC12B1"/>
    <w:rsid w:val="00BD297F"/>
    <w:rsid w:val="00BF44E1"/>
    <w:rsid w:val="00BF727D"/>
    <w:rsid w:val="00C009B8"/>
    <w:rsid w:val="00C124CB"/>
    <w:rsid w:val="00C30A7B"/>
    <w:rsid w:val="00C319A2"/>
    <w:rsid w:val="00C37FBE"/>
    <w:rsid w:val="00C47E20"/>
    <w:rsid w:val="00C47F29"/>
    <w:rsid w:val="00C536A6"/>
    <w:rsid w:val="00C76F0B"/>
    <w:rsid w:val="00CA6717"/>
    <w:rsid w:val="00CC2AE1"/>
    <w:rsid w:val="00CD15A9"/>
    <w:rsid w:val="00CD3596"/>
    <w:rsid w:val="00CE3532"/>
    <w:rsid w:val="00CF27CD"/>
    <w:rsid w:val="00D060CC"/>
    <w:rsid w:val="00D11804"/>
    <w:rsid w:val="00D14074"/>
    <w:rsid w:val="00D14ACA"/>
    <w:rsid w:val="00D25262"/>
    <w:rsid w:val="00D52C88"/>
    <w:rsid w:val="00D5356D"/>
    <w:rsid w:val="00D5555A"/>
    <w:rsid w:val="00D56459"/>
    <w:rsid w:val="00D70BFF"/>
    <w:rsid w:val="00D76271"/>
    <w:rsid w:val="00D82631"/>
    <w:rsid w:val="00DA6789"/>
    <w:rsid w:val="00DB28F3"/>
    <w:rsid w:val="00DB44C6"/>
    <w:rsid w:val="00DE1B43"/>
    <w:rsid w:val="00E11924"/>
    <w:rsid w:val="00E12DFE"/>
    <w:rsid w:val="00E1361B"/>
    <w:rsid w:val="00E17C3B"/>
    <w:rsid w:val="00E31318"/>
    <w:rsid w:val="00E344D7"/>
    <w:rsid w:val="00E3457B"/>
    <w:rsid w:val="00E5762B"/>
    <w:rsid w:val="00E64D7F"/>
    <w:rsid w:val="00E66766"/>
    <w:rsid w:val="00E81C65"/>
    <w:rsid w:val="00E85A73"/>
    <w:rsid w:val="00E9165C"/>
    <w:rsid w:val="00ED06EF"/>
    <w:rsid w:val="00ED14DD"/>
    <w:rsid w:val="00ED49F4"/>
    <w:rsid w:val="00EF31DD"/>
    <w:rsid w:val="00F3232D"/>
    <w:rsid w:val="00F45FFA"/>
    <w:rsid w:val="00F54EE9"/>
    <w:rsid w:val="00F55DF5"/>
    <w:rsid w:val="00F560F0"/>
    <w:rsid w:val="00F63909"/>
    <w:rsid w:val="00F7096A"/>
    <w:rsid w:val="00F7218F"/>
    <w:rsid w:val="00F75712"/>
    <w:rsid w:val="00F76555"/>
    <w:rsid w:val="00F8226D"/>
    <w:rsid w:val="00F907EE"/>
    <w:rsid w:val="00F94930"/>
    <w:rsid w:val="00F9554C"/>
    <w:rsid w:val="00F97100"/>
    <w:rsid w:val="00FA2D34"/>
    <w:rsid w:val="00FB5EE7"/>
    <w:rsid w:val="00FD1531"/>
    <w:rsid w:val="00FD339D"/>
    <w:rsid w:val="00FD599B"/>
    <w:rsid w:val="00FE00BD"/>
    <w:rsid w:val="00FE0A68"/>
    <w:rsid w:val="00FE412A"/>
    <w:rsid w:val="00FF512C"/>
    <w:rsid w:val="20CB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EE11"/>
  <w15:docId w15:val="{D03FAC1F-B53F-49B7-8005-56B8CD6E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7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A73"/>
    <w:rPr>
      <w:rFonts w:ascii="Calibri" w:eastAsia="Calibri" w:hAnsi="Calibri" w:cs="Times New Roman"/>
    </w:rPr>
  </w:style>
  <w:style w:type="paragraph" w:styleId="Footer">
    <w:name w:val="footer"/>
    <w:basedOn w:val="Normal"/>
    <w:link w:val="FooterChar"/>
    <w:uiPriority w:val="99"/>
    <w:unhideWhenUsed/>
    <w:rsid w:val="00E85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A73"/>
    <w:rPr>
      <w:rFonts w:ascii="Calibri" w:eastAsia="Calibri" w:hAnsi="Calibri" w:cs="Times New Roman"/>
    </w:rPr>
  </w:style>
  <w:style w:type="paragraph" w:styleId="BalloonText">
    <w:name w:val="Balloon Text"/>
    <w:basedOn w:val="Normal"/>
    <w:link w:val="BalloonTextChar"/>
    <w:uiPriority w:val="99"/>
    <w:semiHidden/>
    <w:unhideWhenUsed/>
    <w:rsid w:val="00E8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73"/>
    <w:rPr>
      <w:rFonts w:ascii="Tahoma" w:eastAsia="Calibri" w:hAnsi="Tahoma" w:cs="Tahoma"/>
      <w:sz w:val="16"/>
      <w:szCs w:val="16"/>
    </w:rPr>
  </w:style>
  <w:style w:type="paragraph" w:styleId="ListParagraph">
    <w:name w:val="List Paragraph"/>
    <w:basedOn w:val="Normal"/>
    <w:uiPriority w:val="34"/>
    <w:qFormat/>
    <w:rsid w:val="00DE1B43"/>
    <w:pPr>
      <w:spacing w:after="200" w:line="276" w:lineRule="auto"/>
      <w:ind w:left="720"/>
      <w:contextualSpacing/>
    </w:pPr>
    <w:rPr>
      <w:rFonts w:eastAsia="Times New Roman"/>
    </w:rPr>
  </w:style>
  <w:style w:type="character" w:styleId="Hyperlink">
    <w:name w:val="Hyperlink"/>
    <w:basedOn w:val="DefaultParagraphFont"/>
    <w:rsid w:val="004A3547"/>
    <w:rPr>
      <w:color w:val="0000FF"/>
      <w:u w:val="single"/>
    </w:rPr>
  </w:style>
  <w:style w:type="character" w:styleId="UnresolvedMention">
    <w:name w:val="Unresolved Mention"/>
    <w:basedOn w:val="DefaultParagraphFont"/>
    <w:uiPriority w:val="99"/>
    <w:semiHidden/>
    <w:unhideWhenUsed/>
    <w:rsid w:val="00730C06"/>
    <w:rPr>
      <w:color w:val="605E5C"/>
      <w:shd w:val="clear" w:color="auto" w:fill="E1DFDD"/>
    </w:rPr>
  </w:style>
  <w:style w:type="character" w:styleId="FollowedHyperlink">
    <w:name w:val="FollowedHyperlink"/>
    <w:basedOn w:val="DefaultParagraphFont"/>
    <w:uiPriority w:val="99"/>
    <w:semiHidden/>
    <w:unhideWhenUsed/>
    <w:rsid w:val="00730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cognisingexcellence.co.uk/mas/debt-advice-peer-assessment-scheme-dap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erreview@recognisingexcellen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8" ma:contentTypeDescription="Create a new document." ma:contentTypeScope="" ma:versionID="38095485b91ec94fbcfbec57dfa3b07b">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988581f8f4470f0c47e3b9810d81d5ce"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487989e4-a38c-43b0-a283-0942caa85a87</MigrationWizId>
  </documentManagement>
</p:properties>
</file>

<file path=customXml/itemProps1.xml><?xml version="1.0" encoding="utf-8"?>
<ds:datastoreItem xmlns:ds="http://schemas.openxmlformats.org/officeDocument/2006/customXml" ds:itemID="{480DB075-AE6B-456F-8299-06B947E4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0E101-0B45-4938-B0E4-41178323D63C}">
  <ds:schemaRefs>
    <ds:schemaRef ds:uri="http://schemas.microsoft.com/sharepoint/v3/contenttype/forms"/>
  </ds:schemaRefs>
</ds:datastoreItem>
</file>

<file path=customXml/itemProps3.xml><?xml version="1.0" encoding="utf-8"?>
<ds:datastoreItem xmlns:ds="http://schemas.openxmlformats.org/officeDocument/2006/customXml" ds:itemID="{B2DB82CD-7B33-46B9-AA24-79DC7FE97911}">
  <ds:schemaRefs>
    <ds:schemaRef ds:uri="http://schemas.microsoft.com/office/2006/metadata/properties"/>
    <ds:schemaRef ds:uri="http://schemas.microsoft.com/office/infopath/2007/PartnerControls"/>
    <ds:schemaRef ds:uri="f6b14013-6159-4d09-a6a6-8a18a7a1bb7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1695</Words>
  <Characters>9665</Characters>
  <Application>Microsoft Office Word</Application>
  <DocSecurity>0</DocSecurity>
  <Lines>80</Lines>
  <Paragraphs>22</Paragraphs>
  <ScaleCrop>false</ScaleCrop>
  <Company>GEL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Jordan</cp:lastModifiedBy>
  <cp:revision>234</cp:revision>
  <cp:lastPrinted>2016-08-24T10:18:00Z</cp:lastPrinted>
  <dcterms:created xsi:type="dcterms:W3CDTF">2018-01-14T21:50:00Z</dcterms:created>
  <dcterms:modified xsi:type="dcterms:W3CDTF">2021-07-30T11:19:00Z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AuthorIds_UIVersion_16384">
    <vt:lpwstr>14</vt:lpwstr>
  </property>
  <property fmtid="{D5CDD505-2E9C-101B-9397-08002B2CF9AE}" pid="4" name="AuthorIds_UIVersion_20480">
    <vt:lpwstr>14</vt:lpwstr>
  </property>
  <property fmtid="{D5CDD505-2E9C-101B-9397-08002B2CF9AE}" pid="5" name="AuthorIds_UIVersion_21504">
    <vt:lpwstr>14</vt:lpwstr>
  </property>
</Properties>
</file>